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jc w:val="center"/>
        <w:rPr>
          <w:rFonts w:ascii="Calibri" w:hAnsi="Calibri" w:cs="Times New Roman"/>
          <w:b/>
          <w:b/>
          <w:caps/>
          <w:sz w:val="26"/>
          <w:szCs w:val="26"/>
          <w:u w:val="none"/>
          <w:lang w:val="pl-PL"/>
        </w:rPr>
      </w:pPr>
      <w:r>
        <w:rPr>
          <w:rFonts w:cs="Times New Roman" w:ascii="Calibri" w:hAnsi="Calibri"/>
          <w:b/>
          <w:caps/>
          <w:sz w:val="26"/>
          <w:szCs w:val="26"/>
          <w:u w:val="none"/>
          <w:lang w:val="pl-PL"/>
        </w:rPr>
        <w:t>ZasadY przyznawania jednorazowo środków na podjęcie działalności gospodarczej  obowiĄzUJĄce w Grodzkim Urzędzie Pracy w Krakowie</w:t>
      </w:r>
    </w:p>
    <w:p>
      <w:pPr>
        <w:pStyle w:val="Normal"/>
        <w:suppressAutoHyphens w:val="false"/>
        <w:jc w:val="both"/>
        <w:rPr>
          <w:rFonts w:cs="Times New Roman"/>
          <w:sz w:val="20"/>
          <w:szCs w:val="20"/>
        </w:rPr>
      </w:pPr>
      <w:r>
        <w:rPr>
          <w:rFonts w:cs="Times New Roman"/>
          <w:sz w:val="20"/>
          <w:szCs w:val="20"/>
        </w:rPr>
        <w:t xml:space="preserve">   </w:t>
      </w:r>
    </w:p>
    <w:p>
      <w:pPr>
        <w:pStyle w:val="Normal"/>
        <w:suppressAutoHyphens w:val="false"/>
        <w:jc w:val="both"/>
        <w:rPr/>
      </w:pPr>
      <w:r>
        <w:rPr>
          <w:rFonts w:cs="Times New Roman" w:ascii="Calibri" w:hAnsi="Calibri"/>
          <w:b/>
          <w:bCs/>
          <w:sz w:val="22"/>
          <w:szCs w:val="22"/>
        </w:rPr>
        <w:t>1</w:t>
      </w:r>
      <w:r>
        <w:rPr>
          <w:rFonts w:cs="Times New Roman" w:ascii="Calibri" w:hAnsi="Calibri"/>
          <w:sz w:val="22"/>
          <w:szCs w:val="22"/>
        </w:rPr>
        <w:t xml:space="preserve">. Osobami uprawnionymi do ubiegania się i otrzymania jednorazowych środków na podjęcie działalności gospodarczej są: </w:t>
      </w:r>
      <w:r>
        <w:rPr>
          <w:rFonts w:cs="Times New Roman" w:ascii="Calibri" w:hAnsi="Calibri"/>
          <w:b/>
          <w:bCs/>
          <w:sz w:val="22"/>
          <w:szCs w:val="22"/>
        </w:rPr>
        <w:t xml:space="preserve">osoby bezrobotne </w:t>
      </w:r>
      <w:r>
        <w:rPr>
          <w:rFonts w:cs="Times New Roman" w:ascii="Calibri" w:hAnsi="Calibri"/>
          <w:b/>
          <w:bCs/>
          <w:sz w:val="22"/>
          <w:szCs w:val="22"/>
        </w:rPr>
        <w:t>( w przypadku pro</w:t>
      </w:r>
      <w:r>
        <w:rPr>
          <w:rFonts w:cs="Times New Roman" w:ascii="Calibri" w:hAnsi="Calibri"/>
          <w:b/>
          <w:bCs/>
          <w:color w:val="auto"/>
          <w:sz w:val="22"/>
          <w:szCs w:val="22"/>
        </w:rPr>
        <w:t>j</w:t>
      </w:r>
      <w:r>
        <w:rPr>
          <w:rFonts w:cs="Times New Roman" w:ascii="Calibri" w:hAnsi="Calibri"/>
          <w:b/>
          <w:bCs/>
          <w:color w:val="auto"/>
          <w:sz w:val="22"/>
          <w:szCs w:val="22"/>
        </w:rPr>
        <w:t>ektów</w:t>
      </w:r>
      <w:r>
        <w:rPr>
          <w:rFonts w:cs="Times New Roman" w:ascii="Calibri" w:hAnsi="Calibri"/>
          <w:b/>
          <w:bCs/>
          <w:sz w:val="22"/>
          <w:szCs w:val="22"/>
        </w:rPr>
        <w:t xml:space="preserve"> Europejskiego Funduszu Społecznego wymóg dotyczy również spełnienia kryteriów grupy docelowej)</w:t>
      </w:r>
      <w:r>
        <w:rPr>
          <w:rFonts w:cs="Times New Roman" w:ascii="Calibri" w:hAnsi="Calibri"/>
          <w:b/>
          <w:bCs/>
          <w:sz w:val="22"/>
          <w:szCs w:val="22"/>
        </w:rPr>
        <w:t>, poszukujący pracy absolwenci centrum integracji społecznej (CIS) i absolwenci klubu integracji społecznej (KIS), niepozostający w zatrudnieniu lub niewykonujący  innej pracy zarobkowej opiekunowie osoby niepełnosprawnej</w:t>
      </w:r>
      <w:r>
        <w:rPr>
          <w:rFonts w:cs="Times New Roman" w:ascii="Calibri" w:hAnsi="Calibri"/>
          <w:sz w:val="22"/>
          <w:szCs w:val="22"/>
        </w:rPr>
        <w:t>,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 zwani dalej Wnioskodawcą, które spełniają  następujące warunki:</w:t>
      </w:r>
    </w:p>
    <w:p>
      <w:pPr>
        <w:pStyle w:val="Normal"/>
        <w:suppressAutoHyphens w:val="false"/>
        <w:jc w:val="both"/>
        <w:rPr>
          <w:rFonts w:ascii="Calibri" w:hAnsi="Calibri" w:cs="Times New Roman"/>
          <w:sz w:val="22"/>
          <w:szCs w:val="22"/>
        </w:rPr>
      </w:pPr>
      <w:r>
        <w:rPr>
          <w:rFonts w:cs="Times New Roman" w:ascii="Calibri" w:hAnsi="Calibri"/>
          <w:sz w:val="22"/>
          <w:szCs w:val="22"/>
        </w:rPr>
      </w:r>
    </w:p>
    <w:p>
      <w:pPr>
        <w:pStyle w:val="Normal"/>
        <w:numPr>
          <w:ilvl w:val="0"/>
          <w:numId w:val="15"/>
        </w:numPr>
        <w:suppressAutoHyphens w:val="false"/>
        <w:jc w:val="left"/>
        <w:rPr/>
      </w:pPr>
      <w:r>
        <w:rPr>
          <w:rFonts w:cs="Times New Roman" w:ascii="Calibri" w:hAnsi="Calibri"/>
          <w:b w:val="false"/>
          <w:bCs w:val="false"/>
          <w:sz w:val="22"/>
          <w:szCs w:val="22"/>
        </w:rPr>
        <w:t xml:space="preserve">posiadają  </w:t>
      </w:r>
      <w:r>
        <w:rPr>
          <w:rFonts w:cs="Times New Roman" w:ascii="Calibri" w:hAnsi="Calibri"/>
          <w:b/>
          <w:bCs/>
          <w:sz w:val="22"/>
          <w:szCs w:val="22"/>
        </w:rPr>
        <w:t>Indywidualny  Plan Działania</w:t>
      </w:r>
      <w:r>
        <w:rPr>
          <w:rFonts w:cs="Times New Roman" w:ascii="Calibri" w:hAnsi="Calibri"/>
          <w:sz w:val="22"/>
          <w:szCs w:val="22"/>
        </w:rPr>
        <w:t xml:space="preserve"> określający ścieżkę aktywizacji, w tym możliwość skorzystania z dotacji na podjęcie działalności gospodarczej,</w:t>
      </w:r>
    </w:p>
    <w:p>
      <w:pPr>
        <w:pStyle w:val="Normal"/>
        <w:numPr>
          <w:ilvl w:val="0"/>
          <w:numId w:val="15"/>
        </w:numPr>
        <w:suppressAutoHyphens w:val="false"/>
        <w:jc w:val="left"/>
        <w:rPr/>
      </w:pPr>
      <w:r>
        <w:rPr>
          <w:rFonts w:cs="Times New Roman" w:ascii="Calibri" w:hAnsi="Calibri"/>
          <w:sz w:val="22"/>
          <w:szCs w:val="22"/>
        </w:rPr>
        <w:t xml:space="preserve">posiadają  stałe  zameldowanie w Krakowie, albo </w:t>
      </w:r>
      <w:r>
        <w:rPr>
          <w:rFonts w:cs="Times New Roman" w:ascii="Calibri" w:hAnsi="Calibri"/>
          <w:sz w:val="22"/>
          <w:szCs w:val="22"/>
          <w:u w:val="single"/>
        </w:rPr>
        <w:t xml:space="preserve">czasowe  obejmujące okres co najmniej </w:t>
      </w:r>
      <w:r>
        <w:rPr>
          <w:rFonts w:cs="Times New Roman" w:ascii="Calibri" w:hAnsi="Calibri"/>
          <w:color w:val="auto"/>
          <w:sz w:val="22"/>
          <w:szCs w:val="22"/>
          <w:u w:val="single"/>
        </w:rPr>
        <w:t>24</w:t>
      </w:r>
      <w:r>
        <w:rPr>
          <w:rFonts w:cs="Times New Roman" w:ascii="Calibri" w:hAnsi="Calibri"/>
          <w:sz w:val="22"/>
          <w:szCs w:val="22"/>
          <w:u w:val="single"/>
        </w:rPr>
        <w:t xml:space="preserve"> miesięcy</w:t>
      </w:r>
      <w:r>
        <w:rPr>
          <w:rFonts w:cs="Times New Roman" w:ascii="Calibri" w:hAnsi="Calibri"/>
          <w:sz w:val="22"/>
          <w:szCs w:val="22"/>
        </w:rPr>
        <w:t xml:space="preserve"> od daty złożenia wniosku,</w:t>
      </w:r>
    </w:p>
    <w:p>
      <w:pPr>
        <w:pStyle w:val="Normal"/>
        <w:numPr>
          <w:ilvl w:val="0"/>
          <w:numId w:val="15"/>
        </w:numPr>
        <w:suppressAutoHyphens w:val="false"/>
        <w:jc w:val="left"/>
        <w:rPr>
          <w:rFonts w:ascii="Calibri" w:hAnsi="Calibri" w:cs="Times New Roman"/>
          <w:sz w:val="22"/>
          <w:szCs w:val="22"/>
        </w:rPr>
      </w:pPr>
      <w:r>
        <w:rPr>
          <w:rFonts w:cs="Times New Roman" w:ascii="Calibri" w:hAnsi="Calibri"/>
          <w:sz w:val="22"/>
          <w:szCs w:val="22"/>
        </w:rPr>
        <w:t>przedłożą  kompletny i prawidłowo sporządzony wniosek  o przyznanie środków na podjęcie działalności gospodarczej,</w:t>
      </w:r>
    </w:p>
    <w:p>
      <w:pPr>
        <w:pStyle w:val="Normal"/>
        <w:widowControl/>
        <w:numPr>
          <w:ilvl w:val="0"/>
          <w:numId w:val="0"/>
        </w:numPr>
        <w:tabs>
          <w:tab w:val="clear" w:pos="709"/>
          <w:tab w:val="left" w:pos="284" w:leader="none"/>
        </w:tabs>
        <w:bidi w:val="0"/>
        <w:spacing w:lineRule="atLeast" w:line="100"/>
        <w:ind w:left="777" w:right="0" w:hanging="0"/>
        <w:jc w:val="left"/>
        <w:rPr/>
      </w:pPr>
      <w:r>
        <w:rPr>
          <w:rFonts w:cs="Times New Roman" w:ascii="Calibri" w:hAnsi="Calibri"/>
          <w:sz w:val="22"/>
          <w:szCs w:val="22"/>
        </w:rPr>
        <w:t>d)   n</w:t>
      </w:r>
      <w:r>
        <w:rPr>
          <w:rFonts w:cs="Times New Roman" w:ascii="Calibri" w:hAnsi="Calibri"/>
          <w:sz w:val="22"/>
          <w:szCs w:val="22"/>
        </w:rPr>
        <w:t xml:space="preserve">ie otrzymały dotychczas bezzwrotnych środków publicznych /krajowych i wspólnotowych/ na       </w:t>
      </w:r>
    </w:p>
    <w:p>
      <w:pPr>
        <w:pStyle w:val="Normal"/>
        <w:widowControl/>
        <w:numPr>
          <w:ilvl w:val="0"/>
          <w:numId w:val="0"/>
        </w:numPr>
        <w:tabs>
          <w:tab w:val="clear" w:pos="709"/>
          <w:tab w:val="left" w:pos="284" w:leader="none"/>
        </w:tabs>
        <w:bidi w:val="0"/>
        <w:spacing w:lineRule="atLeast" w:line="100"/>
        <w:ind w:left="777" w:right="0" w:hanging="0"/>
        <w:jc w:val="left"/>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podjęcie działalności gospodarczej lub rolniczej, założenie lub przystąpienie do spółdzielni socjalnej,</w:t>
      </w:r>
    </w:p>
    <w:p>
      <w:pPr>
        <w:pStyle w:val="Normal"/>
        <w:widowControl/>
        <w:numPr>
          <w:ilvl w:val="0"/>
          <w:numId w:val="0"/>
        </w:numPr>
        <w:tabs>
          <w:tab w:val="clear" w:pos="709"/>
          <w:tab w:val="left" w:pos="284" w:leader="none"/>
        </w:tabs>
        <w:bidi w:val="0"/>
        <w:spacing w:lineRule="atLeast" w:line="100"/>
        <w:ind w:left="777" w:right="0" w:hanging="0"/>
        <w:jc w:val="left"/>
        <w:rPr/>
      </w:pPr>
      <w:r>
        <w:rPr>
          <w:rFonts w:cs="Times New Roman" w:ascii="Calibri" w:hAnsi="Calibri"/>
          <w:sz w:val="22"/>
          <w:szCs w:val="22"/>
          <w:highlight w:val="white"/>
        </w:rPr>
        <w:t xml:space="preserve">e)    </w:t>
      </w:r>
      <w:r>
        <w:rPr>
          <w:rFonts w:cs="Times New Roman" w:ascii="Calibri" w:hAnsi="Calibri"/>
          <w:sz w:val="22"/>
          <w:szCs w:val="22"/>
          <w:highlight w:val="white"/>
        </w:rPr>
        <w:t xml:space="preserve">w myśl ustawy z dnia 15 czerwca 2012 r. o skutkach powierzania wykonywania pracy cudzoziemcom      </w:t>
      </w:r>
    </w:p>
    <w:p>
      <w:pPr>
        <w:pStyle w:val="Normal"/>
        <w:widowControl/>
        <w:numPr>
          <w:ilvl w:val="0"/>
          <w:numId w:val="0"/>
        </w:numPr>
        <w:tabs>
          <w:tab w:val="clear" w:pos="709"/>
          <w:tab w:val="left" w:pos="284" w:leader="none"/>
        </w:tabs>
        <w:bidi w:val="0"/>
        <w:spacing w:lineRule="atLeast" w:line="100"/>
        <w:ind w:left="777" w:right="0" w:hanging="0"/>
        <w:jc w:val="left"/>
        <w:rPr>
          <w:rFonts w:ascii="Calibri" w:hAnsi="Calibri" w:cs="Times New Roman"/>
          <w:sz w:val="22"/>
          <w:szCs w:val="22"/>
          <w:highlight w:val="white"/>
        </w:rPr>
      </w:pPr>
      <w:r>
        <w:rPr>
          <w:rFonts w:cs="Times New Roman" w:ascii="Calibri" w:hAnsi="Calibri"/>
          <w:sz w:val="22"/>
          <w:szCs w:val="22"/>
          <w:highlight w:val="white"/>
        </w:rPr>
        <w:t xml:space="preserve">       </w:t>
      </w:r>
      <w:r>
        <w:rPr>
          <w:rFonts w:cs="Times New Roman" w:ascii="Calibri" w:hAnsi="Calibri"/>
          <w:sz w:val="22"/>
          <w:szCs w:val="22"/>
          <w:highlight w:val="white"/>
        </w:rPr>
        <w:t xml:space="preserve">przebywającym wbrew przepisom na terytorium Rzeczypospolitej Polskiej (Dz. U. z 2012 r. poz. 769   </w:t>
      </w:r>
    </w:p>
    <w:p>
      <w:pPr>
        <w:pStyle w:val="Normal"/>
        <w:widowControl/>
        <w:numPr>
          <w:ilvl w:val="0"/>
          <w:numId w:val="0"/>
        </w:numPr>
        <w:tabs>
          <w:tab w:val="clear" w:pos="709"/>
          <w:tab w:val="left" w:pos="284" w:leader="none"/>
        </w:tabs>
        <w:bidi w:val="0"/>
        <w:spacing w:lineRule="atLeast" w:line="100"/>
        <w:ind w:left="777" w:right="0" w:hanging="0"/>
        <w:jc w:val="left"/>
        <w:rPr>
          <w:rFonts w:ascii="Calibri" w:hAnsi="Calibri" w:cs="Times New Roman"/>
          <w:sz w:val="22"/>
          <w:szCs w:val="22"/>
          <w:highlight w:val="white"/>
        </w:rPr>
      </w:pPr>
      <w:r>
        <w:rPr>
          <w:rFonts w:cs="Times New Roman" w:ascii="Calibri" w:hAnsi="Calibri"/>
          <w:sz w:val="22"/>
          <w:szCs w:val="22"/>
          <w:highlight w:val="white"/>
        </w:rPr>
        <w:t xml:space="preserve">       </w:t>
      </w:r>
      <w:r>
        <w:rPr>
          <w:rFonts w:cs="Times New Roman" w:ascii="Calibri" w:hAnsi="Calibri"/>
          <w:sz w:val="22"/>
          <w:szCs w:val="22"/>
          <w:highlight w:val="white"/>
        </w:rPr>
        <w:t>z  późn. zmianami</w:t>
      </w:r>
      <w:r>
        <w:rPr>
          <w:rFonts w:cs="Times New Roman" w:ascii="Calibri" w:hAnsi="Calibri"/>
          <w:sz w:val="22"/>
          <w:szCs w:val="22"/>
          <w:highlight w:val="white"/>
        </w:rPr>
        <w:t xml:space="preserve">) nie zostały ukarane prawomocnym wyrokiem sądu zakazem dostępu do   </w:t>
      </w:r>
    </w:p>
    <w:p>
      <w:pPr>
        <w:pStyle w:val="Normal"/>
        <w:widowControl/>
        <w:numPr>
          <w:ilvl w:val="0"/>
          <w:numId w:val="0"/>
        </w:numPr>
        <w:tabs>
          <w:tab w:val="clear" w:pos="709"/>
          <w:tab w:val="left" w:pos="284" w:leader="none"/>
        </w:tabs>
        <w:bidi w:val="0"/>
        <w:spacing w:lineRule="atLeast" w:line="100"/>
        <w:ind w:left="720" w:right="0" w:hanging="0"/>
        <w:jc w:val="left"/>
        <w:rPr>
          <w:rFonts w:ascii="Calibri" w:hAnsi="Calibri" w:cs="Times New Roman"/>
          <w:sz w:val="22"/>
          <w:szCs w:val="22"/>
          <w:highlight w:val="white"/>
        </w:rPr>
      </w:pPr>
      <w:r>
        <w:rPr>
          <w:rFonts w:cs="Times New Roman" w:ascii="Calibri" w:hAnsi="Calibri"/>
          <w:sz w:val="22"/>
          <w:szCs w:val="22"/>
          <w:highlight w:val="white"/>
        </w:rPr>
        <w:t xml:space="preserve">               </w:t>
      </w:r>
      <w:r>
        <w:rPr>
          <w:rFonts w:cs="Times New Roman" w:ascii="Calibri" w:hAnsi="Calibri"/>
          <w:sz w:val="22"/>
          <w:szCs w:val="22"/>
          <w:highlight w:val="white"/>
        </w:rPr>
        <w:t>środków,</w:t>
      </w:r>
    </w:p>
    <w:p>
      <w:pPr>
        <w:pStyle w:val="Normal"/>
        <w:widowControl/>
        <w:numPr>
          <w:ilvl w:val="0"/>
          <w:numId w:val="0"/>
        </w:numPr>
        <w:tabs>
          <w:tab w:val="clear" w:pos="709"/>
          <w:tab w:val="left" w:pos="110" w:leader="none"/>
        </w:tabs>
        <w:bidi w:val="0"/>
        <w:spacing w:lineRule="atLeast" w:line="100"/>
        <w:ind w:left="720" w:right="0" w:hanging="0"/>
        <w:jc w:val="left"/>
        <w:rPr/>
      </w:pPr>
      <w:r>
        <w:rPr>
          <w:rFonts w:cs="Times New Roman" w:ascii="Calibri" w:hAnsi="Calibri"/>
          <w:sz w:val="22"/>
          <w:szCs w:val="22"/>
          <w:highlight w:val="white"/>
        </w:rPr>
        <w:t xml:space="preserve">        </w:t>
      </w:r>
      <w:r>
        <w:rPr>
          <w:rFonts w:cs="Times New Roman" w:ascii="Calibri" w:hAnsi="Calibri"/>
          <w:sz w:val="22"/>
          <w:szCs w:val="22"/>
          <w:highlight w:val="white"/>
        </w:rPr>
        <w:t>f)</w:t>
      </w:r>
      <w:r>
        <w:rPr>
          <w:rFonts w:cs="Times New Roman" w:ascii="Calibri" w:hAnsi="Calibri"/>
          <w:sz w:val="22"/>
          <w:szCs w:val="22"/>
        </w:rPr>
        <w:t xml:space="preserve">    </w:t>
      </w:r>
      <w:r>
        <w:rPr>
          <w:rFonts w:cs="Times New Roman" w:ascii="Calibri" w:hAnsi="Calibri"/>
          <w:sz w:val="22"/>
          <w:szCs w:val="22"/>
        </w:rPr>
        <w:t xml:space="preserve">dołączą oświadczenie o spełnieniu łącznie warunków określonych w Rozporządzeniu Ministra     </w:t>
      </w:r>
    </w:p>
    <w:p>
      <w:pPr>
        <w:pStyle w:val="Normal"/>
        <w:widowControl/>
        <w:numPr>
          <w:ilvl w:val="0"/>
          <w:numId w:val="0"/>
        </w:numPr>
        <w:tabs>
          <w:tab w:val="clear" w:pos="709"/>
          <w:tab w:val="left" w:pos="110" w:leader="none"/>
        </w:tabs>
        <w:bidi w:val="0"/>
        <w:spacing w:lineRule="atLeast" w:line="100"/>
        <w:ind w:left="720" w:right="0" w:hanging="0"/>
        <w:jc w:val="left"/>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 xml:space="preserve">Rodziny, Pracy i Polityki Społecznej z dnia 14 lipca 2017 r. w sprawie dokonywania z Funduszu Pracy  </w:t>
      </w:r>
    </w:p>
    <w:p>
      <w:pPr>
        <w:pStyle w:val="Normal"/>
        <w:widowControl/>
        <w:numPr>
          <w:ilvl w:val="0"/>
          <w:numId w:val="0"/>
        </w:numPr>
        <w:tabs>
          <w:tab w:val="clear" w:pos="709"/>
          <w:tab w:val="left" w:pos="110" w:leader="none"/>
        </w:tabs>
        <w:bidi w:val="0"/>
        <w:spacing w:lineRule="atLeast" w:line="100"/>
        <w:ind w:left="720" w:right="0" w:hanging="0"/>
        <w:jc w:val="left"/>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 xml:space="preserve">refundacji kosztów wyposażenia lub doposażenia stanowiska pracy oraz przyznawania środków na   </w:t>
      </w:r>
    </w:p>
    <w:p>
      <w:pPr>
        <w:pStyle w:val="Normal"/>
        <w:widowControl/>
        <w:numPr>
          <w:ilvl w:val="0"/>
          <w:numId w:val="0"/>
        </w:numPr>
        <w:tabs>
          <w:tab w:val="clear" w:pos="709"/>
          <w:tab w:val="left" w:pos="110" w:leader="none"/>
        </w:tabs>
        <w:bidi w:val="0"/>
        <w:spacing w:lineRule="atLeast" w:line="100"/>
        <w:ind w:left="720" w:right="0" w:hanging="0"/>
        <w:jc w:val="both"/>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podjęcie działalności gospodarczej ( Dz. U. z 2017 r. poz. 1380</w:t>
      </w:r>
      <w:r>
        <w:rPr>
          <w:rFonts w:cs="Times New Roman" w:ascii="Calibri" w:hAnsi="Calibri"/>
          <w:sz w:val="22"/>
          <w:szCs w:val="22"/>
        </w:rPr>
        <w:t>z późn. zmianami</w:t>
      </w:r>
      <w:r>
        <w:rPr>
          <w:rFonts w:cs="Times New Roman" w:ascii="Calibri" w:hAnsi="Calibri"/>
          <w:sz w:val="22"/>
          <w:szCs w:val="22"/>
        </w:rPr>
        <w:t>), tj. o:</w:t>
      </w:r>
    </w:p>
    <w:p>
      <w:pPr>
        <w:pStyle w:val="Normal"/>
        <w:numPr>
          <w:ilvl w:val="0"/>
          <w:numId w:val="4"/>
        </w:numPr>
        <w:spacing w:lineRule="auto" w:line="240"/>
        <w:jc w:val="both"/>
        <w:rPr/>
      </w:pPr>
      <w:r>
        <w:rPr>
          <w:rStyle w:val="Domylnaczcionkaakapitu"/>
          <w:rFonts w:eastAsia="Times New Roman" w:cs="Times New Roman" w:ascii="Calibri" w:hAnsi="Calibri"/>
          <w:b/>
          <w:bCs/>
          <w:color w:val="auto"/>
          <w:sz w:val="22"/>
          <w:szCs w:val="22"/>
          <w:lang w:bidi="ar-SA"/>
        </w:rPr>
        <w:t>n</w:t>
      </w:r>
      <w:r>
        <w:rPr>
          <w:rStyle w:val="Domylnaczcionkaakapitu"/>
          <w:rFonts w:eastAsia="Times New Roman" w:cs="Times New Roman" w:ascii="Calibri" w:hAnsi="Calibri"/>
          <w:b/>
          <w:bCs/>
          <w:color w:val="auto"/>
          <w:sz w:val="22"/>
          <w:szCs w:val="22"/>
          <w:lang w:bidi="ar-SA"/>
        </w:rPr>
        <w:t xml:space="preserve">ieotrzymaniu </w:t>
      </w:r>
      <w:r>
        <w:rPr>
          <w:rStyle w:val="Domylnaczcionkaakapitu"/>
          <w:rFonts w:eastAsia="Times New Roman" w:cs="Times New Roman" w:ascii="Calibri" w:hAnsi="Calibri"/>
          <w:b/>
          <w:bCs/>
          <w:sz w:val="22"/>
          <w:szCs w:val="22"/>
          <w:lang w:bidi="ar-SA"/>
        </w:rPr>
        <w:t xml:space="preserve"> </w:t>
      </w:r>
      <w:r>
        <w:rPr>
          <w:rStyle w:val="Domylnaczcionkaakapitu"/>
          <w:rFonts w:ascii="Calibri" w:hAnsi="Calibri"/>
          <w:sz w:val="22"/>
          <w:szCs w:val="22"/>
        </w:rPr>
        <w:t xml:space="preserve"> dotychczas bezzwrotnych środków z Funduszu Pracy lub innych bezzwrotnych środków publicznych na podjęcie działalności gospodarczej lub rolniczej, założenie lub przystąpienie do spółdzielni socjalnej.</w:t>
      </w:r>
    </w:p>
    <w:p>
      <w:pPr>
        <w:pStyle w:val="Normal"/>
        <w:numPr>
          <w:ilvl w:val="0"/>
          <w:numId w:val="4"/>
        </w:numPr>
        <w:spacing w:lineRule="auto" w:line="240"/>
        <w:jc w:val="both"/>
        <w:rPr/>
      </w:pPr>
      <w:r>
        <w:rPr>
          <w:rStyle w:val="Domylnaczcionkaakapitu"/>
          <w:rFonts w:ascii="Calibri" w:hAnsi="Calibri"/>
          <w:b/>
          <w:bCs/>
          <w:color w:val="auto"/>
          <w:sz w:val="22"/>
          <w:szCs w:val="22"/>
        </w:rPr>
        <w:t>nieposiadaniu</w:t>
      </w:r>
      <w:r>
        <w:rPr>
          <w:rStyle w:val="Domylnaczcionkaakapitu"/>
          <w:rFonts w:ascii="Calibri" w:hAnsi="Calibri"/>
          <w:sz w:val="22"/>
          <w:szCs w:val="22"/>
        </w:rPr>
        <w:t xml:space="preserve"> wpisu do ewidencji działalności gospodarczej,</w:t>
      </w:r>
    </w:p>
    <w:p>
      <w:pPr>
        <w:pStyle w:val="Normal"/>
        <w:numPr>
          <w:ilvl w:val="0"/>
          <w:numId w:val="4"/>
        </w:numPr>
        <w:spacing w:lineRule="auto" w:line="240"/>
        <w:jc w:val="left"/>
        <w:rPr/>
      </w:pPr>
      <w:r>
        <w:rPr>
          <w:rFonts w:ascii="Calibri" w:hAnsi="Calibri"/>
          <w:sz w:val="22"/>
          <w:szCs w:val="22"/>
          <w:u w:val="none"/>
        </w:rPr>
        <w:t>w</w:t>
      </w:r>
      <w:r>
        <w:rPr>
          <w:rFonts w:ascii="Calibri" w:hAnsi="Calibri"/>
          <w:sz w:val="22"/>
          <w:szCs w:val="22"/>
          <w:u w:val="none"/>
        </w:rPr>
        <w:t xml:space="preserve"> przypadku posiadania wpisu do ewidencji działalności gospodarczej </w:t>
      </w:r>
      <w:r>
        <w:rPr>
          <w:rFonts w:ascii="Calibri" w:hAnsi="Calibri"/>
          <w:sz w:val="22"/>
          <w:szCs w:val="22"/>
          <w:u w:val="none"/>
        </w:rPr>
        <w:t xml:space="preserve">data </w:t>
      </w:r>
      <w:r>
        <w:rPr>
          <w:rFonts w:ascii="Calibri" w:hAnsi="Calibri"/>
          <w:color w:val="auto"/>
          <w:sz w:val="22"/>
          <w:szCs w:val="22"/>
          <w:u w:val="none"/>
        </w:rPr>
        <w:t>zakończenia</w:t>
      </w:r>
      <w:r>
        <w:rPr>
          <w:rStyle w:val="Domylnaczcionkaakapitu"/>
          <w:rFonts w:ascii="Calibri" w:hAnsi="Calibri"/>
          <w:b w:val="false"/>
          <w:bCs w:val="false"/>
          <w:color w:val="000000"/>
          <w:sz w:val="22"/>
          <w:szCs w:val="22"/>
          <w:u w:val="none"/>
        </w:rPr>
        <w:t xml:space="preserve"> t</w:t>
      </w:r>
      <w:r>
        <w:rPr>
          <w:rStyle w:val="Domylnaczcionkaakapitu"/>
          <w:rFonts w:ascii="Calibri" w:hAnsi="Calibri"/>
          <w:b w:val="false"/>
          <w:bCs w:val="false"/>
          <w:color w:val="000000"/>
          <w:sz w:val="22"/>
          <w:szCs w:val="22"/>
          <w:u w:val="none"/>
        </w:rPr>
        <w:t>ej działalności winna p</w:t>
      </w:r>
      <w:r>
        <w:rPr>
          <w:rStyle w:val="Domylnaczcionkaakapitu"/>
          <w:rFonts w:ascii="Calibri" w:hAnsi="Calibri"/>
          <w:b w:val="false"/>
          <w:bCs w:val="false"/>
          <w:color w:val="000000"/>
          <w:sz w:val="22"/>
          <w:szCs w:val="22"/>
          <w:u w:val="none"/>
        </w:rPr>
        <w:t>rzypada</w:t>
      </w:r>
      <w:r>
        <w:rPr>
          <w:rStyle w:val="Domylnaczcionkaakapitu"/>
          <w:rFonts w:ascii="Calibri" w:hAnsi="Calibri"/>
          <w:b w:val="false"/>
          <w:bCs w:val="false"/>
          <w:color w:val="000000"/>
          <w:sz w:val="22"/>
          <w:szCs w:val="22"/>
          <w:u w:val="none"/>
        </w:rPr>
        <w:t>ć</w:t>
      </w:r>
      <w:r>
        <w:rPr>
          <w:rStyle w:val="Domylnaczcionkaakapitu"/>
          <w:rFonts w:ascii="Calibri" w:hAnsi="Calibri"/>
          <w:b w:val="false"/>
          <w:bCs w:val="false"/>
          <w:color w:val="000000"/>
          <w:sz w:val="22"/>
          <w:szCs w:val="22"/>
          <w:u w:val="none"/>
        </w:rPr>
        <w:t xml:space="preserve"> przed upływem co najmniej 12 miesięcy bezpośrednio poprzedzających dzień złożenia wniosku.</w:t>
      </w:r>
    </w:p>
    <w:p>
      <w:pPr>
        <w:pStyle w:val="Normal"/>
        <w:numPr>
          <w:ilvl w:val="0"/>
          <w:numId w:val="4"/>
        </w:numPr>
        <w:spacing w:lineRule="auto" w:line="240"/>
        <w:jc w:val="left"/>
        <w:rPr/>
      </w:pPr>
      <w:r>
        <w:rPr>
          <w:rStyle w:val="Domylnaczcionkaakapitu"/>
          <w:rFonts w:ascii="Calibri" w:hAnsi="Calibri"/>
          <w:b w:val="false"/>
          <w:bCs w:val="false"/>
          <w:color w:val="000000"/>
          <w:sz w:val="22"/>
          <w:szCs w:val="22"/>
          <w:u w:val="none"/>
        </w:rPr>
        <w:t>w</w:t>
      </w:r>
      <w:r>
        <w:rPr>
          <w:rStyle w:val="Domylnaczcionkaakapitu"/>
          <w:rFonts w:ascii="Calibri" w:hAnsi="Calibri"/>
          <w:b w:val="false"/>
          <w:bCs w:val="false"/>
          <w:color w:val="000000"/>
          <w:sz w:val="22"/>
          <w:szCs w:val="22"/>
          <w:u w:val="none"/>
        </w:rPr>
        <w:t xml:space="preserve"> </w:t>
      </w:r>
      <w:r>
        <w:rPr>
          <w:rStyle w:val="Domylnaczcionkaakapitu"/>
          <w:rFonts w:ascii="Calibri" w:hAnsi="Calibri"/>
          <w:b w:val="false"/>
          <w:bCs w:val="false"/>
          <w:color w:val="000000"/>
          <w:sz w:val="22"/>
          <w:szCs w:val="22"/>
          <w:u w:val="none"/>
        </w:rPr>
        <w:t>przypadku zakończenia prowadzenia</w:t>
      </w:r>
      <w:r>
        <w:rPr>
          <w:rStyle w:val="Domylnaczcionkaakapitu"/>
          <w:rFonts w:ascii="Calibri" w:hAnsi="Calibri"/>
          <w:b w:val="false"/>
          <w:bCs w:val="false"/>
          <w:color w:val="000000"/>
          <w:sz w:val="22"/>
          <w:szCs w:val="22"/>
          <w:u w:val="none"/>
        </w:rPr>
        <w:t xml:space="preserve"> działalności gospodarczej w okresie obowiązywania stanu zagrożenia epidemicznego albo stanu epidemii, ogłoszonego z powodu COVID-19, w związku z wystąpieniem tego stanu, w okresie krótszym niż 12 miesięcy bezpośrednio poprzedzających dzień złożenia wniosku o dofinansowanie, </w:t>
      </w:r>
      <w:r>
        <w:rPr>
          <w:rStyle w:val="Domylnaczcionkaakapitu"/>
          <w:rFonts w:eastAsia="Times New Roman" w:cs="Times New Roman" w:ascii="Calibri" w:hAnsi="Calibri"/>
          <w:b/>
          <w:bCs/>
          <w:color w:val="000000"/>
          <w:sz w:val="22"/>
          <w:szCs w:val="22"/>
          <w:u w:val="none"/>
          <w:lang w:bidi="ar-SA"/>
        </w:rPr>
        <w:t>symbol i przedmiot planowanej działalności gospodarczej według Polskiej Klasyfikacji Działalności ( PKD) na poziomie podklasy jest inny od działalności zakończonej.</w:t>
      </w:r>
    </w:p>
    <w:p>
      <w:pPr>
        <w:pStyle w:val="Normal"/>
        <w:numPr>
          <w:ilvl w:val="0"/>
          <w:numId w:val="4"/>
        </w:numPr>
        <w:spacing w:lineRule="auto" w:line="240"/>
        <w:jc w:val="both"/>
        <w:rPr/>
      </w:pPr>
      <w:r>
        <w:rPr>
          <w:rFonts w:ascii="Calibri" w:hAnsi="Calibri"/>
          <w:color w:val="auto"/>
          <w:sz w:val="22"/>
          <w:szCs w:val="22"/>
        </w:rPr>
        <w:t>wykorzystaniu</w:t>
      </w:r>
      <w:r>
        <w:rPr>
          <w:rFonts w:ascii="Calibri" w:hAnsi="Calibri"/>
          <w:sz w:val="22"/>
          <w:szCs w:val="22"/>
        </w:rPr>
        <w:t xml:space="preserve"> środk</w:t>
      </w:r>
      <w:r>
        <w:rPr>
          <w:rFonts w:ascii="Calibri" w:hAnsi="Calibri"/>
          <w:sz w:val="22"/>
          <w:szCs w:val="22"/>
        </w:rPr>
        <w:t>ów</w:t>
      </w:r>
      <w:r>
        <w:rPr>
          <w:rFonts w:ascii="Calibri" w:hAnsi="Calibri"/>
          <w:sz w:val="22"/>
          <w:szCs w:val="22"/>
        </w:rPr>
        <w:t xml:space="preserve"> zgodnie z przeznaczeniem.</w:t>
      </w:r>
    </w:p>
    <w:p>
      <w:pPr>
        <w:pStyle w:val="Normal"/>
        <w:numPr>
          <w:ilvl w:val="0"/>
          <w:numId w:val="4"/>
        </w:numPr>
        <w:spacing w:lineRule="auto" w:line="240"/>
        <w:jc w:val="both"/>
        <w:rPr/>
      </w:pPr>
      <w:r>
        <w:rPr>
          <w:rFonts w:ascii="Calibri" w:hAnsi="Calibri"/>
          <w:color w:val="auto"/>
          <w:sz w:val="22"/>
          <w:szCs w:val="22"/>
        </w:rPr>
        <w:t>niepodejmowaniu</w:t>
      </w:r>
      <w:r>
        <w:rPr>
          <w:rFonts w:ascii="Calibri" w:hAnsi="Calibri"/>
          <w:sz w:val="22"/>
          <w:szCs w:val="22"/>
        </w:rPr>
        <w:t xml:space="preserve"> zatrudnienia (umowa o pracę, stosunek służbowy lub umowa o pracę nakładczą) w okresie 12 miesięcy od dnia rozpoczęcia prowadzenia działalności gospodarczej.</w:t>
      </w:r>
    </w:p>
    <w:p>
      <w:pPr>
        <w:pStyle w:val="Normal"/>
        <w:numPr>
          <w:ilvl w:val="0"/>
          <w:numId w:val="4"/>
        </w:numPr>
        <w:spacing w:lineRule="auto" w:line="240"/>
        <w:jc w:val="both"/>
        <w:rPr/>
      </w:pPr>
      <w:r>
        <w:rPr>
          <w:rFonts w:ascii="Calibri" w:hAnsi="Calibri"/>
          <w:color w:val="auto"/>
          <w:sz w:val="22"/>
          <w:szCs w:val="22"/>
        </w:rPr>
        <w:t xml:space="preserve">niekaralności </w:t>
      </w:r>
      <w:r>
        <w:rPr>
          <w:rFonts w:ascii="Calibri" w:hAnsi="Calibri"/>
          <w:sz w:val="22"/>
          <w:szCs w:val="22"/>
        </w:rPr>
        <w:t>w okresie 2 lat przed dniem złożenia wniosku za przestępstwa przeciwko obrotowi gospodarczemu, w rozumieniu ustawy z dnia 6 czerwca 1997 r. – Kodeks karny lub ustawy z dnia 28 października 2002 roku o odpowiedzialności podmiotów zbiorowych za czyny zabronione pod groźbą kary.</w:t>
      </w:r>
    </w:p>
    <w:p>
      <w:pPr>
        <w:pStyle w:val="Normal"/>
        <w:numPr>
          <w:ilvl w:val="0"/>
          <w:numId w:val="4"/>
        </w:numPr>
        <w:spacing w:lineRule="auto" w:line="240"/>
        <w:jc w:val="both"/>
        <w:rPr/>
      </w:pPr>
      <w:r>
        <w:rPr>
          <w:rFonts w:ascii="Calibri" w:hAnsi="Calibri"/>
          <w:sz w:val="22"/>
          <w:szCs w:val="22"/>
        </w:rPr>
        <w:t xml:space="preserve">Zobowiązuję się do prowadzenia działalności gospodarczej w okresie 12 miesięcy od dnia jej rozpoczęcia oraz </w:t>
      </w:r>
      <w:r>
        <w:rPr>
          <w:rFonts w:eastAsia="Times New Roman" w:cs="Times New Roman" w:ascii="Calibri" w:hAnsi="Calibri"/>
          <w:sz w:val="22"/>
          <w:szCs w:val="22"/>
          <w:lang w:bidi="ar-SA"/>
        </w:rPr>
        <w:t>niezawieszania jej wykonywania łącznie na okres dłuższy niż 6 miesięcy.</w:t>
      </w:r>
    </w:p>
    <w:p>
      <w:pPr>
        <w:pStyle w:val="Normal"/>
        <w:numPr>
          <w:ilvl w:val="0"/>
          <w:numId w:val="4"/>
        </w:numPr>
        <w:spacing w:lineRule="auto" w:line="240"/>
        <w:jc w:val="both"/>
        <w:rPr/>
      </w:pPr>
      <w:r>
        <w:rPr>
          <w:rFonts w:ascii="Calibri" w:hAnsi="Calibri"/>
          <w:color w:val="auto"/>
          <w:sz w:val="22"/>
          <w:szCs w:val="22"/>
        </w:rPr>
        <w:t>niezłożeniu</w:t>
      </w:r>
      <w:r>
        <w:rPr>
          <w:rFonts w:ascii="Calibri" w:hAnsi="Calibri"/>
          <w:sz w:val="22"/>
          <w:szCs w:val="22"/>
        </w:rPr>
        <w:t xml:space="preserve"> wniosku do innego starosty o przyznanie środków na podjęcie działalności gospodarczej lub środków na założenie lub przystąpienie do spółdzielni socjalnej.</w:t>
      </w:r>
    </w:p>
    <w:p>
      <w:pPr>
        <w:pStyle w:val="ListParagraph"/>
        <w:numPr>
          <w:ilvl w:val="0"/>
          <w:numId w:val="4"/>
        </w:numPr>
        <w:spacing w:lineRule="auto" w:line="240"/>
        <w:jc w:val="both"/>
        <w:rPr>
          <w:rFonts w:ascii="Calibri" w:hAnsi="Calibri" w:cs="Times New Roman"/>
          <w:sz w:val="22"/>
          <w:szCs w:val="22"/>
        </w:rPr>
      </w:pPr>
      <w:r>
        <w:rPr>
          <w:rFonts w:cs="Times New Roman" w:ascii="Calibri" w:hAnsi="Calibri"/>
          <w:sz w:val="22"/>
          <w:szCs w:val="22"/>
        </w:rPr>
        <w:t xml:space="preserve">nieposiadaniu prawomocnego wyroku zakazu dostępu do środków w myśl ustawy z dnia 15 czerwca 2012 r. o skutkach powierzania wykonywania pracy cudzoziemcom przebywającym wbrew przepisom na terytorium Rzeczypospolitej Polskiej (Dz. U. z 2012 r. poz. 769 </w:t>
      </w:r>
      <w:r>
        <w:rPr>
          <w:rFonts w:cs="Times New Roman" w:ascii="Calibri" w:hAnsi="Calibri"/>
          <w:sz w:val="22"/>
          <w:szCs w:val="22"/>
        </w:rPr>
        <w:t>z późn. zmianami</w:t>
      </w:r>
      <w:r>
        <w:rPr>
          <w:rFonts w:cs="Times New Roman" w:ascii="Calibri" w:hAnsi="Calibri"/>
          <w:sz w:val="22"/>
          <w:szCs w:val="22"/>
        </w:rPr>
        <w:t>),</w:t>
      </w:r>
    </w:p>
    <w:p>
      <w:pPr>
        <w:pStyle w:val="ListParagraph"/>
        <w:tabs>
          <w:tab w:val="clear" w:pos="709"/>
          <w:tab w:val="left" w:pos="568" w:leader="none"/>
        </w:tabs>
        <w:spacing w:lineRule="atLeast" w:line="100"/>
        <w:ind w:left="0" w:right="0" w:hanging="0"/>
        <w:jc w:val="both"/>
        <w:rPr>
          <w:rFonts w:ascii="Calibri" w:hAnsi="Calibri" w:cs="Times New Roman"/>
          <w:sz w:val="22"/>
          <w:szCs w:val="22"/>
          <w:u w:val="single"/>
        </w:rPr>
      </w:pPr>
      <w:r>
        <w:rPr>
          <w:rFonts w:cs="Times New Roman" w:ascii="Calibri" w:hAnsi="Calibri"/>
          <w:sz w:val="22"/>
          <w:szCs w:val="22"/>
          <w:u w:val="single"/>
        </w:rPr>
        <w:t xml:space="preserve">  </w:t>
      </w:r>
      <w:r>
        <w:rPr>
          <w:rFonts w:cs="Times New Roman" w:ascii="Calibri" w:hAnsi="Calibri"/>
          <w:sz w:val="22"/>
          <w:szCs w:val="22"/>
          <w:u w:val="single"/>
        </w:rPr>
        <w:t>w okresie 12 miesięcy bezpośrednio poprzedzających dzień złożenia wniosku bezrobotny:</w:t>
      </w:r>
    </w:p>
    <w:p>
      <w:pPr>
        <w:pStyle w:val="ListParagraph"/>
        <w:numPr>
          <w:ilvl w:val="0"/>
          <w:numId w:val="5"/>
        </w:numPr>
        <w:tabs>
          <w:tab w:val="clear" w:pos="709"/>
          <w:tab w:val="left" w:pos="568" w:leader="none"/>
        </w:tabs>
        <w:spacing w:lineRule="atLeast" w:line="100"/>
        <w:jc w:val="both"/>
        <w:rPr>
          <w:rFonts w:ascii="Calibri" w:hAnsi="Calibri" w:cs="Times New Roman"/>
          <w:sz w:val="22"/>
          <w:szCs w:val="22"/>
        </w:rPr>
      </w:pPr>
      <w:r>
        <w:rPr>
          <w:rFonts w:cs="Times New Roman" w:ascii="Calibri" w:hAnsi="Calibri"/>
          <w:sz w:val="22"/>
          <w:szCs w:val="22"/>
        </w:rPr>
        <w:t>nie odmówił bez uzasadnionej przyczyny przyjęcia propozycji odpowiedniej pracy lub innej formy pomocy określonej w ustawie z dnia 20 kwietnia 2004 r. o promocji zatrudnienia                 i instytucjach rynku pracy (tekst jednolity: Dz. U. z 20</w:t>
      </w:r>
      <w:r>
        <w:rPr>
          <w:rFonts w:cs="Times New Roman" w:ascii="Calibri" w:hAnsi="Calibri"/>
          <w:sz w:val="22"/>
          <w:szCs w:val="22"/>
        </w:rPr>
        <w:t>21</w:t>
      </w:r>
      <w:r>
        <w:rPr>
          <w:rFonts w:cs="Times New Roman" w:ascii="Calibri" w:hAnsi="Calibri"/>
          <w:sz w:val="22"/>
          <w:szCs w:val="22"/>
        </w:rPr>
        <w:t xml:space="preserve"> r., poz. 1</w:t>
      </w:r>
      <w:r>
        <w:rPr>
          <w:rFonts w:cs="Times New Roman" w:ascii="Calibri" w:hAnsi="Calibri"/>
          <w:sz w:val="22"/>
          <w:szCs w:val="22"/>
        </w:rPr>
        <w:t>100 z późn. zmianami</w:t>
      </w:r>
      <w:r>
        <w:rPr>
          <w:rFonts w:cs="Times New Roman" w:ascii="Calibri" w:hAnsi="Calibri"/>
          <w:sz w:val="22"/>
          <w:szCs w:val="22"/>
        </w:rPr>
        <w:t xml:space="preserve">  ) oraz udziału   w działaniach w ramach Programu Aktywizacja i Integracja,o którym mowa w art. 62a ustawy, </w:t>
      </w:r>
    </w:p>
    <w:p>
      <w:pPr>
        <w:pStyle w:val="ListParagraph"/>
        <w:numPr>
          <w:ilvl w:val="0"/>
          <w:numId w:val="5"/>
        </w:numPr>
        <w:tabs>
          <w:tab w:val="clear" w:pos="709"/>
          <w:tab w:val="left" w:pos="568" w:leader="none"/>
        </w:tabs>
        <w:spacing w:lineRule="atLeast" w:line="100"/>
        <w:jc w:val="both"/>
        <w:rPr>
          <w:rFonts w:ascii="Calibri" w:hAnsi="Calibri" w:cs="Times New Roman"/>
          <w:sz w:val="22"/>
          <w:szCs w:val="22"/>
        </w:rPr>
      </w:pPr>
      <w:r>
        <w:rPr>
          <w:rFonts w:cs="Times New Roman" w:ascii="Calibri" w:hAnsi="Calibri"/>
          <w:sz w:val="22"/>
          <w:szCs w:val="22"/>
        </w:rPr>
        <w:t>z własnej winy nie przerwał szkolenia, stażu, realizacji Indywidualnego Planu Działania, udziału w działaniach w ramach Programu Aktywizacja i Integracja, o którym mowa w art. 62a ustawy, wykonywania prac społecznie użytecznych lub innej formy pomocy określonej w ustawie,</w:t>
      </w:r>
    </w:p>
    <w:p>
      <w:pPr>
        <w:pStyle w:val="ListParagraph"/>
        <w:numPr>
          <w:ilvl w:val="0"/>
          <w:numId w:val="5"/>
        </w:numPr>
        <w:tabs>
          <w:tab w:val="clear" w:pos="709"/>
          <w:tab w:val="left" w:pos="568" w:leader="none"/>
        </w:tabs>
        <w:spacing w:lineRule="atLeast" w:line="100"/>
        <w:jc w:val="both"/>
        <w:rPr>
          <w:rFonts w:ascii="Calibri" w:hAnsi="Calibri" w:cs="Times New Roman"/>
          <w:sz w:val="22"/>
          <w:szCs w:val="22"/>
        </w:rPr>
      </w:pPr>
      <w:r>
        <w:rPr>
          <w:rFonts w:cs="Times New Roman" w:ascii="Calibri" w:hAnsi="Calibri"/>
          <w:sz w:val="22"/>
          <w:szCs w:val="22"/>
        </w:rPr>
        <w:t xml:space="preserve">po skierowaniu podjął szkolenie, przygotowanie zawodowe dorosłych, staż, prace społecznie użyteczne lub inną formę pomocy określoną w ustawie, </w:t>
      </w:r>
    </w:p>
    <w:p>
      <w:pPr>
        <w:pStyle w:val="ListParagraph"/>
        <w:tabs>
          <w:tab w:val="clear" w:pos="709"/>
          <w:tab w:val="left" w:pos="568" w:leader="none"/>
        </w:tabs>
        <w:spacing w:lineRule="atLeast" w:line="100"/>
        <w:ind w:left="284" w:right="0" w:hanging="0"/>
        <w:jc w:val="both"/>
        <w:rPr>
          <w:rFonts w:ascii="Calibri" w:hAnsi="Calibri" w:cs="Times New Roman"/>
          <w:sz w:val="22"/>
          <w:szCs w:val="22"/>
          <w:u w:val="single"/>
        </w:rPr>
      </w:pPr>
      <w:r>
        <w:rPr>
          <w:rFonts w:cs="Times New Roman" w:ascii="Calibri" w:hAnsi="Calibri"/>
          <w:sz w:val="22"/>
          <w:szCs w:val="22"/>
          <w:u w:val="single"/>
        </w:rPr>
        <w:t>w okresie 12 miesięcy bezpośrednio poprzedzających dzień złożenia wniosku opiekun osoby niepełnosprawnej:</w:t>
      </w:r>
    </w:p>
    <w:p>
      <w:pPr>
        <w:pStyle w:val="ListParagraph"/>
        <w:numPr>
          <w:ilvl w:val="0"/>
          <w:numId w:val="5"/>
        </w:numPr>
        <w:tabs>
          <w:tab w:val="clear" w:pos="709"/>
          <w:tab w:val="left" w:pos="568" w:leader="none"/>
          <w:tab w:val="left" w:pos="1060" w:leader="none"/>
        </w:tabs>
        <w:spacing w:lineRule="atLeast" w:line="100"/>
        <w:jc w:val="both"/>
        <w:rPr>
          <w:rFonts w:ascii="Calibri" w:hAnsi="Calibri" w:cs="Times New Roman"/>
          <w:sz w:val="22"/>
          <w:szCs w:val="22"/>
        </w:rPr>
      </w:pPr>
      <w:r>
        <w:rPr>
          <w:rFonts w:cs="Times New Roman" w:ascii="Calibri" w:hAnsi="Calibri"/>
          <w:sz w:val="22"/>
          <w:szCs w:val="22"/>
        </w:rPr>
        <w:t xml:space="preserve">nie </w:t>
      </w:r>
      <w:r>
        <w:rPr>
          <w:rFonts w:cs="Times New Roman" w:ascii="Calibri" w:hAnsi="Calibri"/>
          <w:sz w:val="22"/>
          <w:szCs w:val="22"/>
          <w:u w:val="none"/>
        </w:rPr>
        <w:t xml:space="preserve">przerwał z własnej winy szkolenia, stażu, pracy interwencyjnej, studiów   podyplomowych ,         </w:t>
      </w:r>
    </w:p>
    <w:p>
      <w:pPr>
        <w:pStyle w:val="ListParagraph"/>
        <w:tabs>
          <w:tab w:val="clear" w:pos="709"/>
          <w:tab w:val="left" w:pos="568" w:leader="none"/>
        </w:tabs>
        <w:spacing w:lineRule="atLeast" w:line="100"/>
        <w:ind w:left="284" w:right="0" w:hanging="0"/>
        <w:jc w:val="both"/>
        <w:rPr>
          <w:rFonts w:ascii="Calibri" w:hAnsi="Calibri" w:cs="Times New Roman"/>
          <w:sz w:val="22"/>
          <w:szCs w:val="22"/>
        </w:rPr>
      </w:pPr>
      <w:r>
        <w:rPr>
          <w:rFonts w:cs="Times New Roman" w:ascii="Calibri" w:hAnsi="Calibri"/>
          <w:sz w:val="22"/>
          <w:szCs w:val="22"/>
          <w:u w:val="none"/>
        </w:rPr>
        <w:t xml:space="preserve">                </w:t>
      </w:r>
      <w:r>
        <w:rPr>
          <w:rFonts w:cs="Times New Roman" w:ascii="Calibri" w:hAnsi="Calibri"/>
          <w:sz w:val="22"/>
          <w:szCs w:val="22"/>
          <w:u w:val="none"/>
        </w:rPr>
        <w:t>przygotowania  zawodowego  dorosłych.</w:t>
      </w:r>
      <w:r>
        <w:rPr>
          <w:rFonts w:cs="Times New Roman" w:ascii="Calibri" w:hAnsi="Calibri"/>
          <w:sz w:val="22"/>
          <w:szCs w:val="22"/>
        </w:rPr>
        <w:tab/>
        <w:tab/>
        <w:tab/>
        <w:tab/>
        <w:t xml:space="preserve">       </w:t>
      </w:r>
    </w:p>
    <w:p>
      <w:pPr>
        <w:pStyle w:val="ListParagraph"/>
        <w:spacing w:lineRule="atLeast" w:line="100"/>
        <w:ind w:left="426" w:right="0" w:hanging="0"/>
        <w:jc w:val="both"/>
        <w:rPr>
          <w:rFonts w:ascii="Calibri" w:hAnsi="Calibri"/>
          <w:sz w:val="22"/>
          <w:szCs w:val="22"/>
        </w:rPr>
      </w:pPr>
      <w:r>
        <w:rPr>
          <w:rFonts w:cs="Times New Roman" w:ascii="Calibri" w:hAnsi="Calibri"/>
          <w:sz w:val="22"/>
          <w:szCs w:val="22"/>
          <w:u w:val="single"/>
        </w:rPr>
        <w:t>Wnioskodawca  dodatkowo dołączy</w:t>
      </w:r>
      <w:r>
        <w:rPr>
          <w:rFonts w:cs="Times New Roman" w:ascii="Calibri" w:hAnsi="Calibri"/>
          <w:sz w:val="22"/>
          <w:szCs w:val="22"/>
        </w:rPr>
        <w:t>:</w:t>
      </w:r>
    </w:p>
    <w:p>
      <w:pPr>
        <w:pStyle w:val="ListParagraph"/>
        <w:numPr>
          <w:ilvl w:val="0"/>
          <w:numId w:val="6"/>
        </w:numPr>
        <w:spacing w:lineRule="atLeast" w:line="100"/>
        <w:jc w:val="both"/>
        <w:rPr>
          <w:rFonts w:ascii="Calibri" w:hAnsi="Calibri" w:cs="Times New Roman"/>
          <w:sz w:val="22"/>
          <w:szCs w:val="22"/>
        </w:rPr>
      </w:pPr>
      <w:r>
        <w:rPr>
          <w:rFonts w:cs="Times New Roman" w:ascii="Calibri" w:hAnsi="Calibri"/>
          <w:sz w:val="22"/>
          <w:szCs w:val="22"/>
        </w:rPr>
        <w:t>zaświadczenie/a lub oświadczenie/a o otrzymaniu pomocy de minimis w okresie: roku,</w:t>
        <w:br/>
        <w:t>w którym składany jest wniosek oraz dwóch poprzedzających go lat, albo oświadczenie</w:t>
        <w:br/>
        <w:t>o nieotrzymaniu takiej pomocy w tym okresie,</w:t>
      </w:r>
    </w:p>
    <w:p>
      <w:pPr>
        <w:pStyle w:val="ListParagraph"/>
        <w:numPr>
          <w:ilvl w:val="0"/>
          <w:numId w:val="6"/>
        </w:numPr>
        <w:spacing w:lineRule="atLeast" w:line="100"/>
        <w:jc w:val="both"/>
        <w:rPr>
          <w:rFonts w:ascii="Calibri" w:hAnsi="Calibri" w:cs="Times New Roman"/>
          <w:sz w:val="22"/>
          <w:szCs w:val="22"/>
        </w:rPr>
      </w:pPr>
      <w:r>
        <w:rPr>
          <w:rFonts w:cs="Times New Roman" w:ascii="Calibri" w:hAnsi="Calibri"/>
          <w:sz w:val="22"/>
          <w:szCs w:val="22"/>
        </w:rPr>
        <w:t xml:space="preserve">informacje /wg wymaganego wzoru/ przedstawiane przy ubieganiu się o pomoc de minimis udzielaną na warunkach określonych w rozporządzeniu Komisji Europejskiej (UE) nr 1407/2013 z dnia 18 grudnia 2013 r. w sprawie stosowania art. 107 i 108 Traktatu o funkcjonowaniu Unii Europejskiej do pomocy de minimis (Dz. Urz. UE L 352 z 24.12.2013,str.1 </w:t>
      </w:r>
      <w:r>
        <w:rPr>
          <w:rFonts w:cs="Times New Roman" w:ascii="Calibri" w:hAnsi="Calibri"/>
          <w:sz w:val="22"/>
          <w:szCs w:val="22"/>
        </w:rPr>
        <w:t>ze zmianami</w:t>
      </w:r>
      <w:r>
        <w:rPr>
          <w:rFonts w:cs="Times New Roman" w:ascii="Calibri" w:hAnsi="Calibri"/>
          <w:sz w:val="22"/>
          <w:szCs w:val="22"/>
        </w:rPr>
        <w:t>)</w:t>
      </w:r>
    </w:p>
    <w:p>
      <w:pPr>
        <w:pStyle w:val="ListParagraph"/>
        <w:numPr>
          <w:ilvl w:val="0"/>
          <w:numId w:val="0"/>
        </w:numPr>
        <w:spacing w:lineRule="atLeast" w:line="100"/>
        <w:ind w:left="1792" w:right="0" w:hanging="0"/>
        <w:jc w:val="both"/>
        <w:rPr>
          <w:rFonts w:ascii="Calibri" w:hAnsi="Calibri" w:cs="Times New Roman"/>
          <w:sz w:val="22"/>
          <w:szCs w:val="22"/>
        </w:rPr>
      </w:pPr>
      <w:r>
        <w:rPr>
          <w:rFonts w:cs="Times New Roman" w:ascii="Calibri" w:hAnsi="Calibri"/>
          <w:sz w:val="22"/>
          <w:szCs w:val="22"/>
        </w:rPr>
      </w:r>
    </w:p>
    <w:p>
      <w:pPr>
        <w:pStyle w:val="Normal"/>
        <w:numPr>
          <w:ilvl w:val="0"/>
          <w:numId w:val="0"/>
        </w:numPr>
        <w:tabs>
          <w:tab w:val="clear" w:pos="709"/>
          <w:tab w:val="left" w:pos="388" w:leader="none"/>
        </w:tabs>
        <w:spacing w:lineRule="atLeast" w:line="100"/>
        <w:ind w:left="360" w:hanging="0"/>
        <w:jc w:val="both"/>
        <w:rPr>
          <w:rFonts w:ascii="Calibri" w:hAnsi="Calibri"/>
          <w:sz w:val="22"/>
          <w:szCs w:val="22"/>
        </w:rPr>
      </w:pPr>
      <w:r>
        <w:rPr>
          <w:rFonts w:cs="Times New Roman" w:ascii="Calibri" w:hAnsi="Calibri"/>
          <w:b/>
          <w:bCs/>
          <w:sz w:val="22"/>
          <w:szCs w:val="22"/>
        </w:rPr>
        <w:t>2</w:t>
      </w:r>
      <w:r>
        <w:rPr>
          <w:rFonts w:cs="Times New Roman" w:ascii="Calibri" w:hAnsi="Calibri"/>
          <w:sz w:val="22"/>
          <w:szCs w:val="22"/>
        </w:rPr>
        <w:t>. Wysokość środków na podjęcie indywidualnej działalności gospodarczej nie może przekroczyć            6-krotnej wysokości przeciętnego wynagrodzenia /”</w:t>
      </w:r>
      <w:r>
        <w:rPr>
          <w:rFonts w:cs="Times New Roman" w:ascii="Calibri" w:hAnsi="Calibri"/>
          <w:i/>
          <w:sz w:val="22"/>
          <w:szCs w:val="22"/>
        </w:rPr>
        <w:t xml:space="preserve">przeciętne wynagrodzenie” - rozumie się przeciętne wynagrodzenie w poprzednim kwartale, od </w:t>
        <w:tab/>
        <w:t xml:space="preserve">pierwszego dnia następnego miesiąca po ogłoszeniu przez Prezesa Głównego Urzędu Statystycznego w Dzienniku Urzędowym Rzeczypospolitej Polskiej „Monitor Polski”, na podstawie art. 20 pkt 2 ustawy z 17 grudnia1998 r. o emeryturach i rentach z Funduszu Ubezpieczeń </w:t>
      </w:r>
      <w:r>
        <w:rPr>
          <w:rFonts w:cs="Times New Roman" w:ascii="Calibri" w:hAnsi="Calibri"/>
          <w:i/>
          <w:color w:val="000000"/>
          <w:sz w:val="22"/>
          <w:szCs w:val="22"/>
        </w:rPr>
        <w:t xml:space="preserve">Społecznych. </w:t>
      </w:r>
    </w:p>
    <w:p>
      <w:pPr>
        <w:pStyle w:val="Normal"/>
        <w:numPr>
          <w:ilvl w:val="0"/>
          <w:numId w:val="0"/>
        </w:numPr>
        <w:tabs>
          <w:tab w:val="clear" w:pos="709"/>
          <w:tab w:val="left" w:pos="388" w:leader="none"/>
        </w:tabs>
        <w:spacing w:lineRule="atLeast" w:line="100"/>
        <w:ind w:left="360" w:hanging="0"/>
        <w:jc w:val="both"/>
        <w:rPr>
          <w:rFonts w:ascii="Calibri" w:hAnsi="Calibri"/>
          <w:sz w:val="22"/>
          <w:szCs w:val="22"/>
        </w:rPr>
      </w:pPr>
      <w:r>
        <w:rPr>
          <w:rFonts w:cs="Times New Roman" w:ascii="Calibri" w:hAnsi="Calibri"/>
          <w:color w:val="000000"/>
          <w:sz w:val="22"/>
          <w:szCs w:val="22"/>
        </w:rPr>
        <w:t>Mając na uwadze wysokość przyznanego dla Urzędu limitu środków na aktywizację zawodową osób pozostających bez zatrudnienia, w 202</w:t>
      </w:r>
      <w:r>
        <w:rPr>
          <w:rFonts w:cs="Times New Roman" w:ascii="Calibri" w:hAnsi="Calibri"/>
          <w:color w:val="000000"/>
          <w:sz w:val="22"/>
          <w:szCs w:val="22"/>
        </w:rPr>
        <w:t>1</w:t>
      </w:r>
      <w:r>
        <w:rPr>
          <w:rFonts w:cs="Times New Roman" w:ascii="Calibri" w:hAnsi="Calibri"/>
          <w:color w:val="000000"/>
          <w:sz w:val="22"/>
          <w:szCs w:val="22"/>
        </w:rPr>
        <w:t xml:space="preserve"> r. maksymalna kwota przyznanego dofinansowania wynosić będzie  </w:t>
      </w:r>
      <w:r>
        <w:rPr>
          <w:rFonts w:cs="Times New Roman" w:ascii="Calibri" w:hAnsi="Calibri"/>
          <w:b/>
          <w:bCs/>
          <w:color w:val="000000"/>
          <w:sz w:val="22"/>
          <w:szCs w:val="22"/>
        </w:rPr>
        <w:t xml:space="preserve"> 2</w:t>
      </w:r>
      <w:r>
        <w:rPr>
          <w:rFonts w:cs="Times New Roman" w:ascii="Calibri" w:hAnsi="Calibri"/>
          <w:b/>
          <w:bCs/>
          <w:color w:val="000000"/>
          <w:sz w:val="22"/>
          <w:szCs w:val="22"/>
        </w:rPr>
        <w:t>5</w:t>
      </w:r>
      <w:r>
        <w:rPr>
          <w:rFonts w:cs="Times New Roman" w:ascii="Calibri" w:hAnsi="Calibri"/>
          <w:b/>
          <w:bCs/>
          <w:color w:val="000000"/>
          <w:sz w:val="22"/>
          <w:szCs w:val="22"/>
        </w:rPr>
        <w:t xml:space="preserve"> 000,00   zł</w:t>
      </w:r>
      <w:r>
        <w:rPr>
          <w:rFonts w:cs="Times New Roman" w:ascii="Calibri" w:hAnsi="Calibri"/>
          <w:color w:val="000000"/>
          <w:sz w:val="22"/>
          <w:szCs w:val="22"/>
        </w:rPr>
        <w:t>.</w:t>
      </w:r>
    </w:p>
    <w:p>
      <w:pPr>
        <w:pStyle w:val="Normal"/>
        <w:spacing w:lineRule="atLeast" w:line="100"/>
        <w:ind w:left="426" w:right="0" w:hanging="426"/>
        <w:jc w:val="both"/>
        <w:rPr>
          <w:rFonts w:ascii="Calibri" w:hAnsi="Calibri" w:cs="Times New Roman"/>
          <w:b w:val="false"/>
          <w:b w:val="false"/>
          <w:bCs w:val="false"/>
          <w:sz w:val="22"/>
          <w:szCs w:val="22"/>
        </w:rPr>
      </w:pPr>
      <w:r>
        <w:rPr>
          <w:rFonts w:cs="Times New Roman" w:ascii="Calibri" w:hAnsi="Calibri"/>
          <w:b w:val="false"/>
          <w:bCs w:val="false"/>
          <w:sz w:val="22"/>
          <w:szCs w:val="22"/>
        </w:rPr>
      </w:r>
    </w:p>
    <w:p>
      <w:pPr>
        <w:pStyle w:val="Normal"/>
        <w:numPr>
          <w:ilvl w:val="0"/>
          <w:numId w:val="0"/>
        </w:numPr>
        <w:tabs>
          <w:tab w:val="clear" w:pos="709"/>
          <w:tab w:val="left" w:pos="363" w:leader="none"/>
        </w:tabs>
        <w:spacing w:lineRule="atLeast" w:line="100"/>
        <w:ind w:left="360" w:hanging="0"/>
        <w:jc w:val="both"/>
        <w:rPr>
          <w:rFonts w:ascii="Calibri" w:hAnsi="Calibri" w:cs="Times New Roman"/>
          <w:b w:val="false"/>
          <w:b w:val="false"/>
          <w:bCs w:val="false"/>
          <w:sz w:val="22"/>
          <w:szCs w:val="22"/>
        </w:rPr>
      </w:pPr>
      <w:r>
        <w:rPr>
          <w:rFonts w:cs="Times New Roman" w:ascii="Calibri" w:hAnsi="Calibri"/>
          <w:b/>
          <w:bCs/>
          <w:sz w:val="22"/>
          <w:szCs w:val="22"/>
        </w:rPr>
        <w:t>3.</w:t>
      </w:r>
      <w:r>
        <w:rPr>
          <w:rFonts w:cs="Times New Roman" w:ascii="Calibri" w:hAnsi="Calibri"/>
          <w:b w:val="false"/>
          <w:bCs w:val="false"/>
          <w:sz w:val="22"/>
          <w:szCs w:val="22"/>
        </w:rPr>
        <w:t xml:space="preserve"> Wniosek kompletny i prawidłowo sporządzony o przyznanie Wnioskodawcy dofinansowania na podjęcie działalności gospodarczej wraz z załącznikami 1 i 2, winien zawierać:</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imię i nazwisko,</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 xml:space="preserve">adres zamieszkania, adres zameldowania, </w:t>
      </w:r>
      <w:r>
        <w:rPr>
          <w:rFonts w:cs="Times New Roman" w:ascii="Calibri" w:hAnsi="Calibri"/>
          <w:sz w:val="22"/>
          <w:szCs w:val="22"/>
        </w:rPr>
        <w:t>adres do korespondencji,</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numer PESEL,</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kwotę wnioskowanego dofinansowania,</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szczegółową specyfikację wydatków do poniesienia w ramach dofinansowania, przeznaczonych na zakup towarów i usług a w szczególności na zakup środków trwałych, urządzeń, maszyn, materiałów, towarów, usług i materiałów reklamowych, pozyskanie lokalu, pokrycie kosztów pomocy prawnej, konsultacji i doradztwa związanych z podjęciem działalności gospodarczej,</w:t>
      </w:r>
    </w:p>
    <w:p>
      <w:pPr>
        <w:pStyle w:val="Normal"/>
        <w:numPr>
          <w:ilvl w:val="0"/>
          <w:numId w:val="7"/>
        </w:numPr>
        <w:tabs>
          <w:tab w:val="clear" w:pos="709"/>
          <w:tab w:val="left" w:pos="426" w:leader="none"/>
        </w:tabs>
        <w:spacing w:lineRule="atLeast" w:line="100"/>
        <w:jc w:val="both"/>
        <w:rPr/>
      </w:pPr>
      <w:r>
        <w:rPr>
          <w:rFonts w:cs="Times New Roman" w:ascii="Calibri" w:hAnsi="Calibri"/>
          <w:color w:val="auto"/>
          <w:sz w:val="22"/>
          <w:szCs w:val="22"/>
        </w:rPr>
        <w:t>przedmiot planowanej</w:t>
      </w:r>
      <w:r>
        <w:rPr>
          <w:rFonts w:cs="Times New Roman" w:ascii="Calibri" w:hAnsi="Calibri"/>
          <w:sz w:val="22"/>
          <w:szCs w:val="22"/>
        </w:rPr>
        <w:t xml:space="preserve"> działalności gospodarczej w rozumieniu przepisów o </w:t>
      </w:r>
      <w:r>
        <w:rPr>
          <w:rFonts w:cs="Times New Roman" w:ascii="Calibri" w:hAnsi="Calibri"/>
          <w:color w:val="auto"/>
          <w:sz w:val="22"/>
          <w:szCs w:val="22"/>
        </w:rPr>
        <w:t>prawie przedsiębiorców</w:t>
      </w:r>
      <w:r>
        <w:rPr>
          <w:rFonts w:cs="Times New Roman" w:ascii="Calibri" w:hAnsi="Calibri"/>
          <w:sz w:val="22"/>
          <w:szCs w:val="22"/>
        </w:rPr>
        <w:t xml:space="preserve">, którą bezrobotny zamierza podjąć - </w:t>
      </w:r>
      <w:r>
        <w:rPr>
          <w:rFonts w:cs="Times New Roman" w:ascii="Calibri" w:hAnsi="Calibri"/>
          <w:b/>
          <w:sz w:val="22"/>
          <w:szCs w:val="22"/>
        </w:rPr>
        <w:t>wskazanie działalności głównej</w:t>
      </w:r>
      <w:r>
        <w:rPr>
          <w:rFonts w:cs="Times New Roman" w:ascii="Calibri" w:hAnsi="Calibri"/>
          <w:sz w:val="22"/>
          <w:szCs w:val="22"/>
        </w:rPr>
        <w:t xml:space="preserve"> /</w:t>
      </w:r>
      <w:r>
        <w:rPr>
          <w:rFonts w:cs="Times New Roman" w:ascii="Calibri" w:hAnsi="Calibri"/>
          <w:color w:val="000000"/>
          <w:sz w:val="22"/>
          <w:szCs w:val="22"/>
        </w:rPr>
        <w:t>jeżeli odrębne przepisy stanowią, że dany rodzaj działalności jest działalnością regulowaną, przedsiębiorca może wykonywać tę działalność, jeśli spełnia warunki określone tymi przepisami i po uzyskaniu wpisu do właściwego rejestru działalności regulowanej</w:t>
      </w:r>
      <w:r>
        <w:rPr>
          <w:rFonts w:cs="Times New Roman" w:ascii="Calibri" w:hAnsi="Calibri"/>
          <w:i/>
          <w:sz w:val="22"/>
          <w:szCs w:val="22"/>
        </w:rPr>
        <w:t>/</w:t>
      </w:r>
      <w:r>
        <w:rPr>
          <w:rFonts w:cs="Times New Roman" w:ascii="Calibri" w:hAnsi="Calibri"/>
          <w:sz w:val="22"/>
          <w:szCs w:val="22"/>
        </w:rPr>
        <w:t>,</w:t>
      </w:r>
    </w:p>
    <w:p>
      <w:pPr>
        <w:pStyle w:val="Normal"/>
        <w:numPr>
          <w:ilvl w:val="0"/>
          <w:numId w:val="7"/>
        </w:numPr>
        <w:tabs>
          <w:tab w:val="clear" w:pos="709"/>
          <w:tab w:val="left" w:pos="426" w:leader="none"/>
        </w:tabs>
        <w:spacing w:lineRule="atLeast" w:line="100"/>
        <w:jc w:val="both"/>
        <w:rPr>
          <w:rFonts w:ascii="Calibri" w:hAnsi="Calibri"/>
          <w:sz w:val="22"/>
          <w:szCs w:val="22"/>
        </w:rPr>
      </w:pPr>
      <w:r>
        <w:rPr>
          <w:rFonts w:cs="Times New Roman" w:ascii="Calibri" w:hAnsi="Calibri"/>
          <w:sz w:val="22"/>
          <w:szCs w:val="22"/>
        </w:rPr>
        <w:t xml:space="preserve">symbol podklasy rodzaju </w:t>
      </w:r>
      <w:r>
        <w:rPr>
          <w:rFonts w:cs="Times New Roman" w:ascii="Calibri" w:hAnsi="Calibri"/>
          <w:sz w:val="22"/>
          <w:szCs w:val="22"/>
        </w:rPr>
        <w:t>planowanej</w:t>
      </w:r>
      <w:r>
        <w:rPr>
          <w:rFonts w:cs="Times New Roman" w:ascii="Calibri" w:hAnsi="Calibri"/>
          <w:sz w:val="22"/>
          <w:szCs w:val="22"/>
        </w:rPr>
        <w:t xml:space="preserve"> działalności określony zgodnie z Polską Klasyfikacją Działalności - PKD  2007, /</w:t>
      </w:r>
      <w:r>
        <w:rPr>
          <w:rFonts w:cs="Times New Roman" w:ascii="Calibri" w:hAnsi="Calibri"/>
          <w:b/>
          <w:sz w:val="22"/>
          <w:szCs w:val="22"/>
        </w:rPr>
        <w:t>określający działalność główną</w:t>
      </w:r>
      <w:r>
        <w:rPr>
          <w:rFonts w:cs="Times New Roman" w:ascii="Calibri" w:hAnsi="Calibri"/>
          <w:sz w:val="22"/>
          <w:szCs w:val="22"/>
        </w:rPr>
        <w:t>/,</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kalkulację kosztów związanych z podjęciem działalności gospodarczej oraz źródła ich finansowania,</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proponowaną formę zabezpieczenia zwrotu środków,</w:t>
      </w:r>
    </w:p>
    <w:p>
      <w:pPr>
        <w:pStyle w:val="Normal"/>
        <w:numPr>
          <w:ilvl w:val="0"/>
          <w:numId w:val="7"/>
        </w:numPr>
        <w:tabs>
          <w:tab w:val="clear" w:pos="709"/>
          <w:tab w:val="left" w:pos="426" w:leader="none"/>
        </w:tabs>
        <w:spacing w:lineRule="atLeast" w:line="100"/>
        <w:jc w:val="both"/>
        <w:rPr>
          <w:rFonts w:ascii="Calibri" w:hAnsi="Calibri" w:cs="Times New Roman"/>
          <w:sz w:val="22"/>
          <w:szCs w:val="22"/>
        </w:rPr>
      </w:pPr>
      <w:r>
        <w:rPr>
          <w:rFonts w:cs="Times New Roman" w:ascii="Calibri" w:hAnsi="Calibri"/>
          <w:sz w:val="22"/>
          <w:szCs w:val="22"/>
        </w:rPr>
        <w:t>podpis .</w:t>
      </w:r>
    </w:p>
    <w:p>
      <w:pPr>
        <w:pStyle w:val="Normalny2"/>
        <w:tabs>
          <w:tab w:val="clear" w:pos="709"/>
          <w:tab w:val="left" w:pos="426" w:leader="none"/>
        </w:tabs>
        <w:spacing w:lineRule="atLeast" w:line="100" w:before="0" w:after="0"/>
        <w:ind w:left="349" w:right="0" w:hanging="349"/>
        <w:jc w:val="both"/>
        <w:rPr/>
      </w:pPr>
      <w:r>
        <w:rPr>
          <w:rStyle w:val="Domylnaczcionkaakapitu4"/>
          <w:rFonts w:eastAsia="Times New Roman" w:cs="Times New Roman" w:ascii="Calibri" w:hAnsi="Calibri"/>
          <w:sz w:val="22"/>
          <w:szCs w:val="22"/>
        </w:rPr>
        <w:t xml:space="preserve"> </w:t>
      </w:r>
      <w:r>
        <w:rPr>
          <w:rStyle w:val="Domylnaczcionkaakapitu4"/>
          <w:rFonts w:eastAsia="Times New Roman" w:cs="Times New Roman" w:ascii="Calibri" w:hAnsi="Calibri"/>
          <w:sz w:val="22"/>
          <w:szCs w:val="22"/>
        </w:rPr>
        <w:tab/>
        <w:t xml:space="preserve">Formą zabezpieczenia zwrotu  dofinansowania do działalności gospodarczej może być poręczenie, weksel    poręczeniem wekslowym (aval), gwarancja bankowa, zastaw na prawach lub rzeczach, blokada środków zgromadzonych na rachunku bankowym albo akt notarialny o poddaniu się egzekucji przez dłużnika. </w:t>
      </w:r>
    </w:p>
    <w:p>
      <w:pPr>
        <w:pStyle w:val="Normalny2"/>
        <w:tabs>
          <w:tab w:val="clear" w:pos="709"/>
          <w:tab w:val="left" w:pos="474" w:leader="none"/>
        </w:tabs>
        <w:spacing w:lineRule="atLeast" w:line="100" w:before="0" w:after="0"/>
        <w:ind w:left="397" w:right="0" w:hanging="0"/>
        <w:jc w:val="both"/>
        <w:rPr/>
      </w:pPr>
      <w:r>
        <w:rPr>
          <w:rStyle w:val="Domylnaczcionkaakapitu4"/>
          <w:rFonts w:cs="Times New Roman" w:ascii="Calibri" w:hAnsi="Calibri"/>
          <w:sz w:val="22"/>
          <w:szCs w:val="22"/>
        </w:rPr>
        <w:t>Preferowanymi formami zabezpieczenia zwrotu środków otrzymanych na podjęcie działalności  gospodarczej są:</w:t>
      </w:r>
    </w:p>
    <w:p>
      <w:pPr>
        <w:pStyle w:val="ListParagraph"/>
        <w:numPr>
          <w:ilvl w:val="0"/>
          <w:numId w:val="8"/>
        </w:numPr>
        <w:tabs>
          <w:tab w:val="clear" w:pos="709"/>
          <w:tab w:val="left" w:pos="11" w:leader="none"/>
        </w:tabs>
        <w:spacing w:lineRule="atLeast" w:line="100"/>
        <w:jc w:val="both"/>
        <w:rPr/>
      </w:pPr>
      <w:r>
        <w:rPr>
          <w:rStyle w:val="Domylnaczcionkaakapitu4"/>
          <w:rFonts w:cs="Times New Roman" w:ascii="Calibri" w:hAnsi="Calibri"/>
          <w:sz w:val="22"/>
          <w:szCs w:val="22"/>
          <w:u w:val="single"/>
        </w:rPr>
        <w:t>weksel z poręczeniem wekslowym (aval)</w:t>
      </w:r>
    </w:p>
    <w:p>
      <w:pPr>
        <w:pStyle w:val="ListParagraph"/>
        <w:numPr>
          <w:ilvl w:val="0"/>
          <w:numId w:val="8"/>
        </w:numPr>
        <w:tabs>
          <w:tab w:val="clear" w:pos="709"/>
          <w:tab w:val="left" w:pos="11" w:leader="none"/>
        </w:tabs>
        <w:spacing w:lineRule="atLeast" w:line="100"/>
        <w:jc w:val="both"/>
        <w:rPr/>
      </w:pPr>
      <w:r>
        <w:rPr>
          <w:rStyle w:val="Domylnaczcionkaakapitu4"/>
          <w:rFonts w:cs="Times New Roman" w:ascii="Calibri" w:hAnsi="Calibri"/>
          <w:sz w:val="22"/>
          <w:szCs w:val="22"/>
          <w:u w:val="single"/>
        </w:rPr>
        <w:t>blokada rachunku bankowego</w:t>
      </w:r>
      <w:r>
        <w:rPr>
          <w:rStyle w:val="Domylnaczcionkaakapitu4"/>
          <w:rFonts w:cs="Times New Roman" w:ascii="Calibri" w:hAnsi="Calibri"/>
          <w:sz w:val="22"/>
          <w:szCs w:val="22"/>
        </w:rPr>
        <w:t>,</w:t>
      </w:r>
    </w:p>
    <w:p>
      <w:pPr>
        <w:pStyle w:val="ListParagraph"/>
        <w:numPr>
          <w:ilvl w:val="0"/>
          <w:numId w:val="8"/>
        </w:numPr>
        <w:tabs>
          <w:tab w:val="clear" w:pos="709"/>
          <w:tab w:val="left" w:pos="11" w:leader="none"/>
        </w:tabs>
        <w:spacing w:lineRule="atLeast" w:line="100"/>
        <w:jc w:val="both"/>
        <w:rPr/>
      </w:pPr>
      <w:r>
        <w:rPr>
          <w:rStyle w:val="Domylnaczcionkaakapitu4"/>
          <w:rFonts w:cs="Times New Roman" w:ascii="Calibri" w:hAnsi="Calibri"/>
          <w:sz w:val="22"/>
          <w:szCs w:val="22"/>
          <w:u w:val="single"/>
        </w:rPr>
        <w:t>gwarancja bankowa.</w:t>
      </w:r>
    </w:p>
    <w:p>
      <w:pPr>
        <w:pStyle w:val="ListParagraph"/>
        <w:numPr>
          <w:ilvl w:val="0"/>
          <w:numId w:val="0"/>
        </w:numPr>
        <w:tabs>
          <w:tab w:val="clear" w:pos="709"/>
          <w:tab w:val="left" w:pos="11" w:leader="none"/>
        </w:tabs>
        <w:spacing w:lineRule="atLeast" w:line="100"/>
        <w:ind w:left="2160" w:right="0" w:hanging="0"/>
        <w:jc w:val="both"/>
        <w:rPr>
          <w:rStyle w:val="Domylnaczcionkaakapitu4"/>
          <w:rFonts w:ascii="Calibri" w:hAnsi="Calibri" w:cs="Times New Roman"/>
          <w:sz w:val="22"/>
          <w:szCs w:val="22"/>
          <w:u w:val="single"/>
        </w:rPr>
      </w:pPr>
      <w:r>
        <w:rPr/>
      </w:r>
    </w:p>
    <w:p>
      <w:pPr>
        <w:pStyle w:val="ListParagraph"/>
        <w:numPr>
          <w:ilvl w:val="0"/>
          <w:numId w:val="0"/>
        </w:numPr>
        <w:tabs>
          <w:tab w:val="clear" w:pos="709"/>
          <w:tab w:val="left" w:pos="935" w:leader="none"/>
        </w:tabs>
        <w:spacing w:lineRule="atLeast" w:line="100"/>
        <w:ind w:left="786" w:right="0" w:hanging="0"/>
        <w:jc w:val="both"/>
        <w:rPr>
          <w:rFonts w:ascii="Calibri" w:hAnsi="Calibri" w:cs="Times New Roman"/>
          <w:sz w:val="22"/>
          <w:szCs w:val="22"/>
        </w:rPr>
      </w:pPr>
      <w:r>
        <w:rPr>
          <w:rFonts w:cs="Times New Roman" w:ascii="Calibri" w:hAnsi="Calibri"/>
          <w:sz w:val="22"/>
          <w:szCs w:val="22"/>
        </w:rPr>
        <w:t>Pozostałe formy tj. poręczenie, zastaw na prawach lub rzeczach, akt notarialny o poddaniu się egzekucji zostaną uznane wyłącznie za zgodą Dyrektora GUP na wniosek Wnioskodawcy, którą pozyska przed złożeniem wniosku (po przedstawieniu odpowiednich dokumentów ).</w:t>
      </w:r>
    </w:p>
    <w:p>
      <w:pPr>
        <w:pStyle w:val="ListParagraph"/>
        <w:tabs>
          <w:tab w:val="clear" w:pos="709"/>
          <w:tab w:val="left" w:pos="-312" w:leader="none"/>
        </w:tabs>
        <w:spacing w:lineRule="atLeast" w:line="100"/>
        <w:ind w:left="0" w:right="0" w:hanging="0"/>
        <w:jc w:val="both"/>
        <w:rPr/>
      </w:pPr>
      <w:r>
        <w:rPr>
          <w:rStyle w:val="Domylnaczcionkaakapitu4"/>
          <w:rFonts w:cs="Times New Roman" w:ascii="Calibri" w:hAnsi="Calibri"/>
          <w:sz w:val="22"/>
          <w:szCs w:val="22"/>
        </w:rPr>
        <w:t>Opis w/w zabezpieczeń stanowi załącznik nr 1 do niniejszych zasad .</w:t>
      </w:r>
    </w:p>
    <w:p>
      <w:pPr>
        <w:pStyle w:val="ListParagraph"/>
        <w:tabs>
          <w:tab w:val="clear" w:pos="709"/>
          <w:tab w:val="left" w:pos="-312" w:leader="none"/>
        </w:tabs>
        <w:spacing w:lineRule="atLeast" w:line="100"/>
        <w:ind w:left="0" w:right="0" w:hanging="0"/>
        <w:jc w:val="both"/>
        <w:rPr/>
      </w:pPr>
      <w:r>
        <w:rPr>
          <w:rStyle w:val="Domylnaczcionkaakapitu4"/>
          <w:rFonts w:cs="Times New Roman" w:ascii="Calibri" w:hAnsi="Calibri"/>
          <w:sz w:val="22"/>
          <w:szCs w:val="22"/>
        </w:rPr>
        <w:t>Wszelkie koszty związane z zabezpieczeniem dofinansowania ponosi wnioskodawca.</w:t>
      </w:r>
    </w:p>
    <w:p>
      <w:pPr>
        <w:pStyle w:val="ListParagraph"/>
        <w:tabs>
          <w:tab w:val="clear" w:pos="709"/>
          <w:tab w:val="left" w:pos="-312" w:leader="none"/>
        </w:tabs>
        <w:spacing w:lineRule="atLeast" w:line="100"/>
        <w:ind w:left="0" w:right="0" w:hanging="0"/>
        <w:jc w:val="both"/>
        <w:rPr>
          <w:rFonts w:ascii="Calibri" w:hAnsi="Calibri" w:cs="Times New Roman"/>
          <w:sz w:val="22"/>
          <w:szCs w:val="22"/>
        </w:rPr>
      </w:pPr>
      <w:r>
        <w:rPr>
          <w:rStyle w:val="Domylnaczcionkaakapitu4"/>
          <w:rFonts w:cs="Times New Roman" w:ascii="Calibri" w:hAnsi="Calibri"/>
          <w:color w:val="auto"/>
          <w:sz w:val="22"/>
          <w:szCs w:val="22"/>
        </w:rPr>
        <w:t xml:space="preserve">W </w:t>
      </w:r>
      <w:r>
        <w:rPr>
          <w:rStyle w:val="Domylnaczcionkaakapitu4"/>
          <w:rFonts w:cs="Times New Roman" w:ascii="Calibri" w:hAnsi="Calibri"/>
          <w:color w:val="auto"/>
          <w:sz w:val="22"/>
          <w:szCs w:val="22"/>
        </w:rPr>
        <w:t>przypadku pozytywnego wniosku  dokumenty dotyczące zabezpieczenia umowy zostaną przesłane drogą e -mail.</w:t>
      </w:r>
    </w:p>
    <w:p>
      <w:pPr>
        <w:pStyle w:val="Normalny2"/>
        <w:tabs>
          <w:tab w:val="clear" w:pos="709"/>
          <w:tab w:val="left" w:pos="474" w:leader="none"/>
        </w:tabs>
        <w:spacing w:lineRule="atLeast" w:line="100" w:before="0" w:after="0"/>
        <w:ind w:left="0" w:right="0" w:hanging="0"/>
        <w:jc w:val="both"/>
        <w:rPr>
          <w:rFonts w:ascii="Calibri" w:hAnsi="Calibri"/>
          <w:sz w:val="22"/>
          <w:szCs w:val="22"/>
        </w:rPr>
      </w:pPr>
      <w:r>
        <w:rPr>
          <w:rFonts w:cs="Times New Roman" w:ascii="Calibri" w:hAnsi="Calibri"/>
          <w:b/>
          <w:bCs/>
          <w:sz w:val="22"/>
          <w:szCs w:val="22"/>
        </w:rPr>
        <w:t xml:space="preserve">O przyjęciu wniosku do rozpatrzenia decyduje </w:t>
      </w:r>
      <w:r>
        <w:rPr>
          <w:rFonts w:cs="Times New Roman" w:ascii="Calibri" w:hAnsi="Calibri"/>
          <w:b/>
          <w:bCs/>
          <w:sz w:val="22"/>
          <w:szCs w:val="22"/>
          <w:u w:val="single"/>
        </w:rPr>
        <w:t>data jego  wpływu w oryginale  do Urzędu w terminie wyznaczonym przez Urząd.</w:t>
      </w:r>
      <w:r>
        <w:rPr>
          <w:rFonts w:cs="Times New Roman" w:ascii="Calibri" w:hAnsi="Calibri"/>
          <w:b/>
          <w:bCs/>
          <w:sz w:val="22"/>
          <w:szCs w:val="22"/>
        </w:rPr>
        <w:t xml:space="preserve"> Wnioski i dokumenty złożone w terminie  późniejszym  nie będą rozpatrywane.  Ponadto, nie będą weryfikowane i oceniane dokumenty przedstawione na nośnikach elektronicznych.</w:t>
      </w:r>
    </w:p>
    <w:p>
      <w:pPr>
        <w:pStyle w:val="Normal"/>
        <w:tabs>
          <w:tab w:val="clear" w:pos="709"/>
          <w:tab w:val="left" w:pos="426" w:leader="none"/>
          <w:tab w:val="left" w:pos="567" w:leader="none"/>
        </w:tabs>
        <w:spacing w:lineRule="atLeast" w:line="100"/>
        <w:jc w:val="both"/>
        <w:rPr>
          <w:rFonts w:ascii="Calibri" w:hAnsi="Calibri" w:cs="Times New Roman"/>
          <w:sz w:val="22"/>
          <w:szCs w:val="22"/>
        </w:rPr>
      </w:pPr>
      <w:r>
        <w:rPr>
          <w:rFonts w:cs="Times New Roman" w:ascii="Calibri" w:hAnsi="Calibri"/>
          <w:sz w:val="22"/>
          <w:szCs w:val="22"/>
        </w:rPr>
      </w:r>
    </w:p>
    <w:p>
      <w:pPr>
        <w:pStyle w:val="Normal"/>
        <w:numPr>
          <w:ilvl w:val="0"/>
          <w:numId w:val="8"/>
        </w:numPr>
        <w:tabs>
          <w:tab w:val="clear" w:pos="709"/>
          <w:tab w:val="left" w:pos="1855" w:leader="none"/>
          <w:tab w:val="left" w:pos="1996" w:leader="none"/>
        </w:tabs>
        <w:spacing w:lineRule="atLeast" w:line="100"/>
        <w:ind w:left="284" w:right="0" w:hanging="284"/>
        <w:jc w:val="both"/>
        <w:rPr>
          <w:rFonts w:ascii="Calibri" w:hAnsi="Calibri"/>
          <w:sz w:val="22"/>
          <w:szCs w:val="22"/>
        </w:rPr>
      </w:pPr>
      <w:r>
        <w:rPr>
          <w:rFonts w:cs="Times New Roman" w:ascii="Calibri" w:hAnsi="Calibri"/>
          <w:b/>
          <w:sz w:val="22"/>
          <w:szCs w:val="22"/>
        </w:rPr>
        <w:t xml:space="preserve">Środki na prowadzenie działalności gospodarczej </w:t>
      </w:r>
      <w:r>
        <w:rPr>
          <w:rFonts w:cs="Times New Roman" w:ascii="Calibri" w:hAnsi="Calibri"/>
          <w:b/>
          <w:sz w:val="22"/>
          <w:szCs w:val="22"/>
          <w:u w:val="single"/>
        </w:rPr>
        <w:t>nie mogą</w:t>
      </w:r>
      <w:r>
        <w:rPr>
          <w:rFonts w:cs="Times New Roman" w:ascii="Calibri" w:hAnsi="Calibri"/>
          <w:b/>
          <w:sz w:val="22"/>
          <w:szCs w:val="22"/>
        </w:rPr>
        <w:t xml:space="preserve"> być przeznaczone na:</w:t>
      </w:r>
    </w:p>
    <w:p>
      <w:pPr>
        <w:pStyle w:val="Normal"/>
        <w:numPr>
          <w:ilvl w:val="0"/>
          <w:numId w:val="16"/>
        </w:numPr>
        <w:jc w:val="both"/>
        <w:rPr/>
      </w:pPr>
      <w:r>
        <w:rPr>
          <w:rFonts w:ascii="Calibri" w:hAnsi="Calibri"/>
          <w:sz w:val="22"/>
          <w:szCs w:val="22"/>
        </w:rPr>
        <w:t>podjęcie działalności gospodarczej, która nie może być objęta pomocą de minimis (sektor produkcji podstawowej produktów rolnych, rybołó</w:t>
      </w:r>
      <w:r>
        <w:rPr>
          <w:rFonts w:ascii="Calibri" w:hAnsi="Calibri"/>
          <w:sz w:val="22"/>
          <w:szCs w:val="22"/>
        </w:rPr>
        <w:t>w</w:t>
      </w:r>
      <w:r>
        <w:rPr>
          <w:rFonts w:ascii="Calibri" w:hAnsi="Calibri"/>
          <w:sz w:val="22"/>
          <w:szCs w:val="22"/>
        </w:rPr>
        <w:t>stwa i akwakultury, transportu drogowego towarów, górnictwa),</w:t>
      </w:r>
    </w:p>
    <w:p>
      <w:pPr>
        <w:pStyle w:val="Normal"/>
        <w:numPr>
          <w:ilvl w:val="0"/>
          <w:numId w:val="16"/>
        </w:numPr>
        <w:jc w:val="both"/>
        <w:rPr>
          <w:rFonts w:ascii="Calibri" w:hAnsi="Calibri"/>
          <w:sz w:val="22"/>
          <w:szCs w:val="22"/>
        </w:rPr>
      </w:pPr>
      <w:r>
        <w:rPr>
          <w:rFonts w:ascii="Calibri" w:hAnsi="Calibri"/>
          <w:sz w:val="22"/>
          <w:szCs w:val="22"/>
        </w:rPr>
        <w:t>zamierzoną działalność gospodarczą w innej formie niż jednoosobowa działalność gospodarcza,</w:t>
      </w:r>
    </w:p>
    <w:p>
      <w:pPr>
        <w:pStyle w:val="Normal"/>
        <w:numPr>
          <w:ilvl w:val="0"/>
          <w:numId w:val="16"/>
        </w:numPr>
        <w:jc w:val="both"/>
        <w:rPr>
          <w:rFonts w:ascii="Calibri" w:hAnsi="Calibri"/>
          <w:sz w:val="22"/>
          <w:szCs w:val="22"/>
        </w:rPr>
      </w:pPr>
      <w:r>
        <w:rPr>
          <w:rFonts w:ascii="Calibri" w:hAnsi="Calibri"/>
          <w:sz w:val="22"/>
          <w:szCs w:val="22"/>
        </w:rPr>
        <w:t>nabycie akcji lub udziałów w spółkach,</w:t>
      </w:r>
    </w:p>
    <w:p>
      <w:pPr>
        <w:pStyle w:val="Normal"/>
        <w:numPr>
          <w:ilvl w:val="0"/>
          <w:numId w:val="16"/>
        </w:numPr>
        <w:jc w:val="both"/>
        <w:rPr>
          <w:rFonts w:ascii="Calibri" w:hAnsi="Calibri"/>
          <w:sz w:val="22"/>
          <w:szCs w:val="22"/>
        </w:rPr>
      </w:pPr>
      <w:r>
        <w:rPr>
          <w:rFonts w:ascii="Calibri" w:hAnsi="Calibri"/>
          <w:sz w:val="22"/>
          <w:szCs w:val="22"/>
        </w:rPr>
        <w:t>opłaty administracyjno-skarbowe, podatki, koncesje, kaucje, ubezpieczenia,</w:t>
      </w:r>
    </w:p>
    <w:p>
      <w:pPr>
        <w:pStyle w:val="Normal"/>
        <w:numPr>
          <w:ilvl w:val="0"/>
          <w:numId w:val="16"/>
        </w:numPr>
        <w:jc w:val="both"/>
        <w:rPr>
          <w:rFonts w:ascii="Calibri" w:hAnsi="Calibri"/>
          <w:sz w:val="22"/>
          <w:szCs w:val="22"/>
        </w:rPr>
      </w:pPr>
      <w:r>
        <w:rPr>
          <w:rFonts w:ascii="Calibri" w:hAnsi="Calibri"/>
          <w:sz w:val="22"/>
          <w:szCs w:val="22"/>
        </w:rPr>
        <w:t>finansowanie szkoleń,</w:t>
      </w:r>
    </w:p>
    <w:p>
      <w:pPr>
        <w:pStyle w:val="Normal"/>
        <w:numPr>
          <w:ilvl w:val="0"/>
          <w:numId w:val="16"/>
        </w:numPr>
        <w:jc w:val="both"/>
        <w:rPr>
          <w:rFonts w:ascii="Calibri" w:hAnsi="Calibri"/>
          <w:sz w:val="22"/>
          <w:szCs w:val="22"/>
        </w:rPr>
      </w:pPr>
      <w:r>
        <w:rPr>
          <w:rFonts w:ascii="Calibri" w:hAnsi="Calibri"/>
          <w:sz w:val="22"/>
          <w:szCs w:val="22"/>
        </w:rPr>
        <w:t>bieżące koszty utrzymania lokalu (w tym: opłaty za media, telefon, internet, itp.),</w:t>
      </w:r>
    </w:p>
    <w:p>
      <w:pPr>
        <w:pStyle w:val="Normal"/>
        <w:numPr>
          <w:ilvl w:val="0"/>
          <w:numId w:val="16"/>
        </w:numPr>
        <w:jc w:val="both"/>
        <w:rPr>
          <w:rFonts w:ascii="Calibri" w:hAnsi="Calibri"/>
          <w:sz w:val="22"/>
          <w:szCs w:val="22"/>
        </w:rPr>
      </w:pPr>
      <w:r>
        <w:rPr>
          <w:rFonts w:ascii="Calibri" w:hAnsi="Calibri"/>
          <w:sz w:val="22"/>
          <w:szCs w:val="22"/>
        </w:rPr>
        <w:t>wydatki inwestycyjne oraz koszty zakupu i budowę lokalu,</w:t>
        <w:tab/>
        <w:tab/>
        <w:tab/>
      </w:r>
    </w:p>
    <w:p>
      <w:pPr>
        <w:pStyle w:val="Normal"/>
        <w:numPr>
          <w:ilvl w:val="0"/>
          <w:numId w:val="16"/>
        </w:numPr>
        <w:jc w:val="both"/>
        <w:rPr>
          <w:rFonts w:ascii="Calibri" w:hAnsi="Calibri"/>
          <w:sz w:val="22"/>
          <w:szCs w:val="22"/>
        </w:rPr>
      </w:pPr>
      <w:r>
        <w:rPr>
          <w:rFonts w:ascii="Calibri" w:hAnsi="Calibri"/>
          <w:sz w:val="22"/>
          <w:szCs w:val="22"/>
        </w:rPr>
        <w:t>remont/adaptacja lokalu mieszkalnego,</w:t>
      </w:r>
    </w:p>
    <w:p>
      <w:pPr>
        <w:pStyle w:val="Normal"/>
        <w:numPr>
          <w:ilvl w:val="0"/>
          <w:numId w:val="16"/>
        </w:numPr>
        <w:jc w:val="both"/>
        <w:rPr>
          <w:rFonts w:ascii="Calibri" w:hAnsi="Calibri"/>
          <w:sz w:val="22"/>
          <w:szCs w:val="22"/>
        </w:rPr>
      </w:pPr>
      <w:r>
        <w:rPr>
          <w:rFonts w:ascii="Calibri" w:hAnsi="Calibri"/>
          <w:sz w:val="22"/>
          <w:szCs w:val="22"/>
        </w:rPr>
        <w:t>wyposażenie lokalu w sprzęt lub urządzenia niezwiązane bezpośrednio z prowadzeniem działalności gospodarczej, np. meble, drobne AGD itp.</w:t>
      </w:r>
    </w:p>
    <w:p>
      <w:pPr>
        <w:pStyle w:val="Normal"/>
        <w:numPr>
          <w:ilvl w:val="0"/>
          <w:numId w:val="16"/>
        </w:numPr>
        <w:jc w:val="both"/>
        <w:rPr>
          <w:rFonts w:ascii="Calibri" w:hAnsi="Calibri"/>
          <w:sz w:val="22"/>
          <w:szCs w:val="22"/>
        </w:rPr>
      </w:pPr>
      <w:r>
        <w:rPr>
          <w:rFonts w:ascii="Calibri" w:hAnsi="Calibri"/>
          <w:sz w:val="22"/>
          <w:szCs w:val="22"/>
        </w:rPr>
        <w:t>zakup ziemi i nieruchomości,</w:t>
      </w:r>
    </w:p>
    <w:p>
      <w:pPr>
        <w:pStyle w:val="Normal"/>
        <w:numPr>
          <w:ilvl w:val="0"/>
          <w:numId w:val="16"/>
        </w:numPr>
        <w:jc w:val="both"/>
        <w:rPr>
          <w:rFonts w:ascii="Calibri" w:hAnsi="Calibri"/>
          <w:sz w:val="22"/>
          <w:szCs w:val="22"/>
        </w:rPr>
      </w:pPr>
      <w:r>
        <w:rPr>
          <w:rFonts w:ascii="Calibri" w:hAnsi="Calibri"/>
          <w:sz w:val="22"/>
          <w:szCs w:val="22"/>
        </w:rPr>
        <w:t>zakupy w systemie kredytowym i leasingowym,</w:t>
      </w:r>
    </w:p>
    <w:p>
      <w:pPr>
        <w:pStyle w:val="Normal"/>
        <w:numPr>
          <w:ilvl w:val="0"/>
          <w:numId w:val="16"/>
        </w:numPr>
        <w:jc w:val="both"/>
        <w:rPr>
          <w:rFonts w:ascii="Calibri" w:hAnsi="Calibri"/>
          <w:sz w:val="22"/>
          <w:szCs w:val="22"/>
        </w:rPr>
      </w:pPr>
      <w:r>
        <w:rPr>
          <w:rFonts w:ascii="Calibri" w:hAnsi="Calibri"/>
          <w:sz w:val="22"/>
          <w:szCs w:val="22"/>
        </w:rPr>
        <w:t>wypłaty wynagrodzeń i składek ZUS,</w:t>
      </w:r>
    </w:p>
    <w:p>
      <w:pPr>
        <w:pStyle w:val="Normal"/>
        <w:numPr>
          <w:ilvl w:val="0"/>
          <w:numId w:val="16"/>
        </w:numPr>
        <w:jc w:val="both"/>
        <w:rPr>
          <w:rFonts w:ascii="Calibri" w:hAnsi="Calibri"/>
          <w:sz w:val="22"/>
          <w:szCs w:val="22"/>
        </w:rPr>
      </w:pPr>
      <w:r>
        <w:rPr>
          <w:rFonts w:ascii="Calibri" w:hAnsi="Calibri"/>
          <w:sz w:val="22"/>
          <w:szCs w:val="22"/>
        </w:rPr>
        <w:t>handel obwoźny, akwizycję, automaty do gier,</w:t>
      </w:r>
    </w:p>
    <w:p>
      <w:pPr>
        <w:pStyle w:val="Normal"/>
        <w:numPr>
          <w:ilvl w:val="0"/>
          <w:numId w:val="16"/>
        </w:numPr>
        <w:jc w:val="both"/>
        <w:rPr>
          <w:rFonts w:ascii="Calibri" w:hAnsi="Calibri"/>
          <w:sz w:val="22"/>
          <w:szCs w:val="22"/>
        </w:rPr>
      </w:pPr>
      <w:r>
        <w:rPr>
          <w:rFonts w:ascii="Calibri" w:hAnsi="Calibri"/>
          <w:sz w:val="22"/>
          <w:szCs w:val="22"/>
        </w:rPr>
        <w:t>prowadzenie salonów gier hazardowych, lombardów, firm typu agencje towarzyskie oraz  działalność paramedyczną,</w:t>
      </w:r>
    </w:p>
    <w:p>
      <w:pPr>
        <w:pStyle w:val="Normal"/>
        <w:numPr>
          <w:ilvl w:val="0"/>
          <w:numId w:val="16"/>
        </w:numPr>
        <w:jc w:val="both"/>
        <w:rPr>
          <w:rFonts w:ascii="Calibri" w:hAnsi="Calibri"/>
          <w:sz w:val="22"/>
          <w:szCs w:val="22"/>
        </w:rPr>
      </w:pPr>
      <w:r>
        <w:rPr>
          <w:rFonts w:ascii="Calibri" w:hAnsi="Calibri"/>
          <w:sz w:val="22"/>
          <w:szCs w:val="22"/>
        </w:rPr>
        <w:t>działalność sezonowa oraz  poza granicami kraju,</w:t>
      </w:r>
    </w:p>
    <w:p>
      <w:pPr>
        <w:pStyle w:val="Normal"/>
        <w:numPr>
          <w:ilvl w:val="0"/>
          <w:numId w:val="16"/>
        </w:numPr>
        <w:jc w:val="both"/>
        <w:rPr>
          <w:rFonts w:ascii="Calibri" w:hAnsi="Calibri"/>
          <w:sz w:val="22"/>
          <w:szCs w:val="22"/>
        </w:rPr>
      </w:pPr>
      <w:r>
        <w:rPr>
          <w:rFonts w:ascii="Calibri" w:hAnsi="Calibri"/>
          <w:sz w:val="22"/>
          <w:szCs w:val="22"/>
        </w:rPr>
        <w:t>sektor transportu krajowego i międzynarodowego oraz przewóz osób,</w:t>
      </w:r>
    </w:p>
    <w:p>
      <w:pPr>
        <w:pStyle w:val="Normal"/>
        <w:numPr>
          <w:ilvl w:val="0"/>
          <w:numId w:val="16"/>
        </w:numPr>
        <w:jc w:val="both"/>
        <w:rPr>
          <w:rFonts w:ascii="Calibri" w:hAnsi="Calibri"/>
          <w:sz w:val="22"/>
          <w:szCs w:val="22"/>
        </w:rPr>
      </w:pPr>
      <w:r>
        <w:rPr>
          <w:rFonts w:ascii="Calibri" w:hAnsi="Calibri"/>
          <w:sz w:val="22"/>
          <w:szCs w:val="22"/>
        </w:rPr>
        <w:t>pośrednictwo finansowe,</w:t>
      </w:r>
    </w:p>
    <w:p>
      <w:pPr>
        <w:pStyle w:val="Normal"/>
        <w:numPr>
          <w:ilvl w:val="0"/>
          <w:numId w:val="16"/>
        </w:numPr>
        <w:jc w:val="both"/>
        <w:rPr>
          <w:rFonts w:ascii="Calibri" w:hAnsi="Calibri"/>
          <w:sz w:val="22"/>
          <w:szCs w:val="22"/>
        </w:rPr>
      </w:pPr>
      <w:r>
        <w:rPr>
          <w:rFonts w:ascii="Calibri" w:hAnsi="Calibri"/>
          <w:sz w:val="22"/>
          <w:szCs w:val="22"/>
        </w:rPr>
        <w:t>prowadzenie działalności gospodarczej tożsamej z działalnością gospodarczą współmałżonka  (zgodnie z kodem PKD),</w:t>
      </w:r>
    </w:p>
    <w:p>
      <w:pPr>
        <w:pStyle w:val="Normal"/>
        <w:numPr>
          <w:ilvl w:val="0"/>
          <w:numId w:val="16"/>
        </w:numPr>
        <w:jc w:val="both"/>
        <w:rPr/>
      </w:pPr>
      <w:r>
        <w:rPr>
          <w:rFonts w:ascii="Calibri" w:hAnsi="Calibri"/>
          <w:sz w:val="22"/>
          <w:szCs w:val="22"/>
        </w:rPr>
        <w:t xml:space="preserve">prowadzenie działalności gospodarczej </w:t>
      </w:r>
      <w:r>
        <w:rPr>
          <w:rFonts w:ascii="Calibri" w:hAnsi="Calibri"/>
          <w:color w:val="auto"/>
          <w:sz w:val="22"/>
          <w:szCs w:val="22"/>
        </w:rPr>
        <w:t>po</w:t>
      </w:r>
      <w:r>
        <w:rPr>
          <w:rFonts w:ascii="Calibri" w:hAnsi="Calibri"/>
          <w:color w:val="auto"/>
          <w:sz w:val="22"/>
          <w:szCs w:val="22"/>
        </w:rPr>
        <w:t>d</w:t>
      </w:r>
      <w:r>
        <w:rPr>
          <w:rFonts w:ascii="Calibri" w:hAnsi="Calibri"/>
          <w:color w:val="auto"/>
          <w:sz w:val="22"/>
          <w:szCs w:val="22"/>
        </w:rPr>
        <w:t xml:space="preserve"> tym samym adresem</w:t>
      </w:r>
      <w:r>
        <w:rPr>
          <w:rFonts w:ascii="Calibri" w:hAnsi="Calibri"/>
          <w:sz w:val="22"/>
          <w:szCs w:val="22"/>
        </w:rPr>
        <w:t xml:space="preserve"> co inny podmiot prowadzący działalność gospodarczą o tym samym rodzaju (zgodnie z kodem PKD),</w:t>
      </w:r>
    </w:p>
    <w:p>
      <w:pPr>
        <w:pStyle w:val="Normal"/>
        <w:numPr>
          <w:ilvl w:val="0"/>
          <w:numId w:val="16"/>
        </w:numPr>
        <w:jc w:val="both"/>
        <w:rPr>
          <w:rFonts w:ascii="Calibri" w:hAnsi="Calibri"/>
          <w:sz w:val="22"/>
          <w:szCs w:val="22"/>
        </w:rPr>
      </w:pPr>
      <w:r>
        <w:rPr>
          <w:rFonts w:ascii="Calibri" w:hAnsi="Calibri"/>
          <w:sz w:val="22"/>
          <w:szCs w:val="22"/>
        </w:rPr>
        <w:t>przejęcie firmy,</w:t>
      </w:r>
    </w:p>
    <w:p>
      <w:pPr>
        <w:pStyle w:val="Normal"/>
        <w:numPr>
          <w:ilvl w:val="0"/>
          <w:numId w:val="16"/>
        </w:numPr>
        <w:jc w:val="both"/>
        <w:rPr>
          <w:rFonts w:ascii="Calibri" w:hAnsi="Calibri"/>
          <w:sz w:val="22"/>
          <w:szCs w:val="22"/>
        </w:rPr>
      </w:pPr>
      <w:r>
        <w:rPr>
          <w:rFonts w:ascii="Calibri" w:hAnsi="Calibri"/>
          <w:sz w:val="22"/>
          <w:szCs w:val="22"/>
        </w:rPr>
        <w:t>działalność związaną z wynajmem nieruchomości,</w:t>
      </w:r>
    </w:p>
    <w:p>
      <w:pPr>
        <w:pStyle w:val="Normal"/>
        <w:numPr>
          <w:ilvl w:val="0"/>
          <w:numId w:val="16"/>
        </w:numPr>
        <w:jc w:val="both"/>
        <w:rPr>
          <w:rFonts w:ascii="Calibri" w:hAnsi="Calibri"/>
          <w:sz w:val="22"/>
          <w:szCs w:val="22"/>
        </w:rPr>
      </w:pPr>
      <w:r>
        <w:rPr>
          <w:rFonts w:ascii="Calibri" w:hAnsi="Calibri"/>
          <w:sz w:val="22"/>
          <w:szCs w:val="22"/>
        </w:rPr>
        <w:t>zakup napojów alkoholowych i używek,</w:t>
      </w:r>
    </w:p>
    <w:p>
      <w:pPr>
        <w:pStyle w:val="Normal"/>
        <w:numPr>
          <w:ilvl w:val="0"/>
          <w:numId w:val="16"/>
        </w:numPr>
        <w:jc w:val="both"/>
        <w:rPr>
          <w:rFonts w:ascii="Calibri" w:hAnsi="Calibri"/>
          <w:sz w:val="22"/>
          <w:szCs w:val="22"/>
        </w:rPr>
      </w:pPr>
      <w:r>
        <w:rPr>
          <w:rFonts w:ascii="Calibri" w:hAnsi="Calibri"/>
          <w:sz w:val="22"/>
          <w:szCs w:val="22"/>
        </w:rPr>
        <w:t>pokrycie kosztów transportu/przesyłki zakupionych rzeczy,</w:t>
      </w:r>
    </w:p>
    <w:p>
      <w:pPr>
        <w:pStyle w:val="Normal"/>
        <w:numPr>
          <w:ilvl w:val="0"/>
          <w:numId w:val="16"/>
        </w:numPr>
        <w:jc w:val="both"/>
        <w:rPr>
          <w:rFonts w:ascii="Calibri" w:hAnsi="Calibri"/>
          <w:sz w:val="22"/>
          <w:szCs w:val="22"/>
        </w:rPr>
      </w:pPr>
      <w:r>
        <w:rPr>
          <w:rFonts w:ascii="Calibri" w:hAnsi="Calibri"/>
          <w:sz w:val="22"/>
          <w:szCs w:val="22"/>
        </w:rPr>
        <w:t>zakup samochodu osobowego,</w:t>
      </w:r>
    </w:p>
    <w:p>
      <w:pPr>
        <w:pStyle w:val="Normal"/>
        <w:numPr>
          <w:ilvl w:val="0"/>
          <w:numId w:val="16"/>
        </w:numPr>
        <w:jc w:val="both"/>
        <w:rPr>
          <w:rFonts w:ascii="Calibri" w:hAnsi="Calibri"/>
          <w:sz w:val="22"/>
          <w:szCs w:val="22"/>
        </w:rPr>
      </w:pPr>
      <w:r>
        <w:rPr>
          <w:rFonts w:ascii="Calibri" w:hAnsi="Calibri"/>
          <w:sz w:val="22"/>
          <w:szCs w:val="22"/>
        </w:rPr>
        <w:t>bieżące koszty eksploatacji samochodu (AC, OC, paliwo itp.),</w:t>
      </w:r>
    </w:p>
    <w:p>
      <w:pPr>
        <w:pStyle w:val="Normal"/>
        <w:numPr>
          <w:ilvl w:val="0"/>
          <w:numId w:val="16"/>
        </w:numPr>
        <w:jc w:val="both"/>
        <w:rPr>
          <w:rFonts w:ascii="Calibri" w:hAnsi="Calibri"/>
          <w:sz w:val="22"/>
          <w:szCs w:val="22"/>
        </w:rPr>
      </w:pPr>
      <w:r>
        <w:rPr>
          <w:rFonts w:ascii="Calibri" w:hAnsi="Calibri"/>
          <w:sz w:val="22"/>
          <w:szCs w:val="22"/>
        </w:rPr>
        <w:t>hodowlę oraz zakup zwierząt,</w:t>
      </w:r>
    </w:p>
    <w:p>
      <w:pPr>
        <w:pStyle w:val="Normal"/>
        <w:numPr>
          <w:ilvl w:val="0"/>
          <w:numId w:val="16"/>
        </w:numPr>
        <w:jc w:val="both"/>
        <w:rPr>
          <w:rFonts w:ascii="Calibri" w:hAnsi="Calibri"/>
          <w:sz w:val="22"/>
          <w:szCs w:val="22"/>
        </w:rPr>
      </w:pPr>
      <w:r>
        <w:rPr>
          <w:rFonts w:ascii="Calibri" w:hAnsi="Calibri"/>
          <w:sz w:val="22"/>
          <w:szCs w:val="22"/>
        </w:rPr>
        <w:t>handel złomem,</w:t>
      </w:r>
    </w:p>
    <w:p>
      <w:pPr>
        <w:pStyle w:val="Normal"/>
        <w:numPr>
          <w:ilvl w:val="0"/>
          <w:numId w:val="16"/>
        </w:numPr>
        <w:jc w:val="both"/>
        <w:rPr/>
      </w:pPr>
      <w:r>
        <w:rPr>
          <w:rFonts w:ascii="Calibri" w:hAnsi="Calibri"/>
          <w:sz w:val="22"/>
          <w:szCs w:val="22"/>
        </w:rPr>
        <w:t>handel środkami odurzającymi, substancjami psychotropowymi oraz środkami zastępczymi w rozumieniu ustawy z dnia 29 lipca 2005 r. o przeciwdziałaniu narkomanii (t.j. Dz. U. z 20</w:t>
      </w:r>
      <w:r>
        <w:rPr>
          <w:rFonts w:ascii="Calibri" w:hAnsi="Calibri"/>
          <w:sz w:val="22"/>
          <w:szCs w:val="22"/>
        </w:rPr>
        <w:t>20</w:t>
      </w:r>
      <w:r>
        <w:rPr>
          <w:rFonts w:ascii="Calibri" w:hAnsi="Calibri"/>
          <w:sz w:val="22"/>
          <w:szCs w:val="22"/>
        </w:rPr>
        <w:t xml:space="preserve"> r. poz. </w:t>
      </w:r>
      <w:r>
        <w:rPr>
          <w:rFonts w:ascii="Calibri" w:hAnsi="Calibri"/>
          <w:color w:val="auto"/>
          <w:sz w:val="22"/>
          <w:szCs w:val="22"/>
        </w:rPr>
        <w:t>2050</w:t>
      </w:r>
      <w:r>
        <w:rPr>
          <w:rFonts w:ascii="Calibri" w:hAnsi="Calibri"/>
          <w:sz w:val="22"/>
          <w:szCs w:val="22"/>
        </w:rPr>
        <w:t xml:space="preserve">, </w:t>
      </w:r>
      <w:r>
        <w:rPr>
          <w:rFonts w:ascii="Calibri" w:hAnsi="Calibri"/>
          <w:sz w:val="22"/>
          <w:szCs w:val="22"/>
        </w:rPr>
        <w:t>z późniejszymi zmianami</w:t>
      </w:r>
      <w:r>
        <w:rPr>
          <w:rFonts w:ascii="Calibri" w:hAnsi="Calibri"/>
          <w:sz w:val="22"/>
          <w:szCs w:val="22"/>
        </w:rPr>
        <w:t>)</w:t>
      </w:r>
      <w:r>
        <w:rPr>
          <w:rFonts w:ascii="Calibri" w:hAnsi="Calibri"/>
          <w:sz w:val="22"/>
          <w:szCs w:val="22"/>
        </w:rPr>
        <w:t xml:space="preserve"> oraz ustawy z dnia 14 marca 1985 r. o Państwowej Inspekcji Sanitarnej (t.j. Dz. U. z 20</w:t>
      </w:r>
      <w:r>
        <w:rPr>
          <w:rFonts w:ascii="Calibri" w:hAnsi="Calibri"/>
          <w:sz w:val="22"/>
          <w:szCs w:val="22"/>
        </w:rPr>
        <w:t>21</w:t>
      </w:r>
      <w:r>
        <w:rPr>
          <w:rFonts w:ascii="Calibri" w:hAnsi="Calibri"/>
          <w:sz w:val="22"/>
          <w:szCs w:val="22"/>
        </w:rPr>
        <w:t xml:space="preserve"> r. poz. </w:t>
      </w:r>
      <w:r>
        <w:rPr>
          <w:rFonts w:ascii="Calibri" w:hAnsi="Calibri"/>
          <w:sz w:val="22"/>
          <w:szCs w:val="22"/>
        </w:rPr>
        <w:t>195</w:t>
      </w:r>
      <w:r>
        <w:rPr>
          <w:rFonts w:ascii="Calibri" w:hAnsi="Calibri"/>
          <w:sz w:val="22"/>
          <w:szCs w:val="22"/>
        </w:rPr>
        <w:t>), w tym preparatami z tej grupy określanymi jako kolekcjonerskie,</w:t>
      </w:r>
    </w:p>
    <w:p>
      <w:pPr>
        <w:pStyle w:val="Normal"/>
        <w:numPr>
          <w:ilvl w:val="0"/>
          <w:numId w:val="16"/>
        </w:numPr>
        <w:jc w:val="both"/>
        <w:rPr/>
      </w:pPr>
      <w:r>
        <w:rPr>
          <w:rFonts w:ascii="Calibri" w:hAnsi="Calibri"/>
          <w:sz w:val="22"/>
          <w:szCs w:val="22"/>
        </w:rPr>
        <w:t>handel, w tym handel internetowy, środkami o których mowa w ustawie z dnia 25 sierpnia 2006 r. o bezpieczeństwie żywności i żywienia (t.j. Dz. U. z 20</w:t>
      </w:r>
      <w:r>
        <w:rPr>
          <w:rFonts w:ascii="Calibri" w:hAnsi="Calibri"/>
          <w:sz w:val="22"/>
          <w:szCs w:val="22"/>
        </w:rPr>
        <w:t>20</w:t>
      </w:r>
      <w:r>
        <w:rPr>
          <w:rFonts w:ascii="Calibri" w:hAnsi="Calibri"/>
          <w:sz w:val="22"/>
          <w:szCs w:val="22"/>
        </w:rPr>
        <w:t xml:space="preserve"> r. poz. </w:t>
      </w:r>
      <w:r>
        <w:rPr>
          <w:rFonts w:ascii="Calibri" w:hAnsi="Calibri"/>
          <w:color w:val="auto"/>
          <w:sz w:val="22"/>
          <w:szCs w:val="22"/>
        </w:rPr>
        <w:t>2021</w:t>
      </w:r>
      <w:r>
        <w:rPr>
          <w:rFonts w:ascii="Calibri" w:hAnsi="Calibri"/>
          <w:sz w:val="22"/>
          <w:szCs w:val="22"/>
        </w:rPr>
        <w:t>, z późn. zm.), takimi</w:t>
        <w:br/>
        <w:t>jak suplementy diety, środki spożywcze specjalnego przeznaczenia żywieniowego (w tym odżywki i preparaty odchudzające), poza sprzedażą prowadzoną w stacjonarnych aptekach i sklepach zielarskich przez osoby uprawnione,</w:t>
      </w:r>
    </w:p>
    <w:p>
      <w:pPr>
        <w:pStyle w:val="Normal"/>
        <w:numPr>
          <w:ilvl w:val="0"/>
          <w:numId w:val="16"/>
        </w:numPr>
        <w:jc w:val="both"/>
        <w:rPr>
          <w:rFonts w:ascii="Calibri" w:hAnsi="Calibri"/>
          <w:sz w:val="22"/>
          <w:szCs w:val="22"/>
        </w:rPr>
      </w:pPr>
      <w:r>
        <w:rPr>
          <w:rFonts w:ascii="Calibri" w:hAnsi="Calibri"/>
          <w:sz w:val="22"/>
          <w:szCs w:val="22"/>
        </w:rPr>
        <w:t>usługi medyczne ochrony zdrowia świadczone przez osoby nie posiadające wykształcenia kierunkowego,</w:t>
      </w:r>
    </w:p>
    <w:p>
      <w:pPr>
        <w:pStyle w:val="Normal"/>
        <w:numPr>
          <w:ilvl w:val="0"/>
          <w:numId w:val="16"/>
        </w:numPr>
        <w:jc w:val="both"/>
        <w:rPr>
          <w:rFonts w:ascii="Calibri" w:hAnsi="Calibri"/>
          <w:sz w:val="22"/>
          <w:szCs w:val="22"/>
        </w:rPr>
      </w:pPr>
      <w:r>
        <w:rPr>
          <w:rFonts w:ascii="Calibri" w:hAnsi="Calibri"/>
          <w:sz w:val="22"/>
          <w:szCs w:val="22"/>
        </w:rPr>
        <w:t>usługi makijażu permanentnego i depilacji laserowej przez osoby nie posiadające wykształcenia kosmetycznego (formalnego),</w:t>
      </w:r>
    </w:p>
    <w:p>
      <w:pPr>
        <w:pStyle w:val="Normal"/>
        <w:numPr>
          <w:ilvl w:val="0"/>
          <w:numId w:val="16"/>
        </w:numPr>
        <w:jc w:val="both"/>
        <w:rPr>
          <w:rFonts w:ascii="Calibri" w:hAnsi="Calibri"/>
          <w:sz w:val="22"/>
          <w:szCs w:val="22"/>
        </w:rPr>
      </w:pPr>
      <w:r>
        <w:rPr>
          <w:rFonts w:ascii="Calibri" w:hAnsi="Calibri"/>
          <w:sz w:val="22"/>
          <w:szCs w:val="22"/>
        </w:rPr>
        <w:t>usługi wykonywania i usuwania tatuaży przez osoby nie posiadające odpowiedniego udokumentowanego przygotowania,</w:t>
      </w:r>
    </w:p>
    <w:p>
      <w:pPr>
        <w:pStyle w:val="Normal"/>
        <w:numPr>
          <w:ilvl w:val="0"/>
          <w:numId w:val="16"/>
        </w:numPr>
        <w:jc w:val="both"/>
        <w:rPr>
          <w:rFonts w:ascii="Calibri" w:hAnsi="Calibri"/>
          <w:sz w:val="22"/>
          <w:szCs w:val="22"/>
        </w:rPr>
      </w:pPr>
      <w:r>
        <w:rPr>
          <w:rFonts w:ascii="Calibri" w:hAnsi="Calibri"/>
          <w:sz w:val="22"/>
          <w:szCs w:val="22"/>
        </w:rPr>
        <w:t xml:space="preserve">usługi w zakresie opieki nad dziećmi świadczone przez osoby nie posiadające przygotowania zgodnego </w:t>
      </w:r>
    </w:p>
    <w:p>
      <w:pPr>
        <w:pStyle w:val="Normal"/>
        <w:numPr>
          <w:ilvl w:val="0"/>
          <w:numId w:val="0"/>
        </w:numPr>
        <w:ind w:left="238" w:hanging="0"/>
        <w:jc w:val="both"/>
        <w:rPr>
          <w:rFonts w:ascii="Calibri" w:hAnsi="Calibri"/>
          <w:sz w:val="22"/>
          <w:szCs w:val="22"/>
        </w:rPr>
      </w:pPr>
      <w:r>
        <w:rPr>
          <w:rFonts w:ascii="Calibri" w:hAnsi="Calibri"/>
          <w:sz w:val="22"/>
          <w:szCs w:val="22"/>
        </w:rPr>
        <w:t xml:space="preserve">z wymogami ustawy z dnia 4 lutego 2011 r. o opiece nad dziećmi w wieku do lat 3 </w:t>
      </w:r>
    </w:p>
    <w:p>
      <w:pPr>
        <w:pStyle w:val="Normal"/>
        <w:numPr>
          <w:ilvl w:val="0"/>
          <w:numId w:val="0"/>
        </w:numPr>
        <w:ind w:left="238" w:hanging="0"/>
        <w:jc w:val="both"/>
        <w:rPr/>
      </w:pPr>
      <w:r>
        <w:rPr>
          <w:rFonts w:ascii="Calibri" w:hAnsi="Calibri"/>
          <w:sz w:val="22"/>
          <w:szCs w:val="22"/>
        </w:rPr>
        <w:t>(t .j. Dz. U. z 20</w:t>
      </w:r>
      <w:r>
        <w:rPr>
          <w:rFonts w:ascii="Calibri" w:hAnsi="Calibri"/>
          <w:sz w:val="22"/>
          <w:szCs w:val="22"/>
        </w:rPr>
        <w:t>2</w:t>
      </w:r>
      <w:r>
        <w:rPr>
          <w:rFonts w:ascii="Calibri" w:hAnsi="Calibri"/>
          <w:sz w:val="22"/>
          <w:szCs w:val="22"/>
        </w:rPr>
        <w:t>1</w:t>
      </w:r>
      <w:r>
        <w:rPr>
          <w:rFonts w:ascii="Calibri" w:hAnsi="Calibri"/>
          <w:sz w:val="22"/>
          <w:szCs w:val="22"/>
        </w:rPr>
        <w:t xml:space="preserve"> r. poz. </w:t>
      </w:r>
      <w:r>
        <w:rPr>
          <w:rFonts w:ascii="Calibri" w:hAnsi="Calibri"/>
          <w:color w:val="auto"/>
          <w:sz w:val="22"/>
          <w:szCs w:val="22"/>
        </w:rPr>
        <w:t>7</w:t>
      </w:r>
      <w:r>
        <w:rPr>
          <w:rFonts w:ascii="Calibri" w:hAnsi="Calibri"/>
          <w:color w:val="auto"/>
          <w:sz w:val="22"/>
          <w:szCs w:val="22"/>
        </w:rPr>
        <w:t>5</w:t>
      </w:r>
      <w:r>
        <w:rPr>
          <w:rFonts w:ascii="Calibri" w:hAnsi="Calibri"/>
          <w:sz w:val="22"/>
          <w:szCs w:val="22"/>
        </w:rPr>
        <w:t>,</w:t>
      </w:r>
      <w:r>
        <w:rPr>
          <w:rFonts w:ascii="Calibri" w:hAnsi="Calibri"/>
          <w:sz w:val="22"/>
          <w:szCs w:val="22"/>
        </w:rPr>
        <w:t>z późniejszymi zmianami</w:t>
      </w:r>
      <w:r>
        <w:rPr>
          <w:rFonts w:ascii="Calibri" w:hAnsi="Calibri"/>
          <w:sz w:val="22"/>
          <w:szCs w:val="22"/>
        </w:rPr>
        <w:t xml:space="preserve"> ),</w:t>
      </w:r>
    </w:p>
    <w:p>
      <w:pPr>
        <w:pStyle w:val="Normal"/>
        <w:numPr>
          <w:ilvl w:val="0"/>
          <w:numId w:val="16"/>
        </w:numPr>
        <w:jc w:val="both"/>
        <w:rPr>
          <w:rFonts w:ascii="Calibri" w:hAnsi="Calibri"/>
          <w:sz w:val="22"/>
          <w:szCs w:val="22"/>
        </w:rPr>
      </w:pPr>
      <w:r>
        <w:rPr>
          <w:rFonts w:ascii="Calibri" w:hAnsi="Calibri"/>
          <w:sz w:val="22"/>
          <w:szCs w:val="22"/>
        </w:rPr>
        <w:t>na podjęcie działalności gospodarczej, której siedziba lub miejsce wykonywania działalności wskazane jest pod adresem tzw. wirtualnego biura (brak fizycznej siedziby lub miejsca wykonywania działalności),</w:t>
      </w:r>
    </w:p>
    <w:p>
      <w:pPr>
        <w:pStyle w:val="Normal"/>
        <w:numPr>
          <w:ilvl w:val="0"/>
          <w:numId w:val="16"/>
        </w:numPr>
        <w:jc w:val="both"/>
        <w:rPr>
          <w:rFonts w:ascii="Calibri" w:hAnsi="Calibri"/>
          <w:sz w:val="22"/>
          <w:szCs w:val="22"/>
        </w:rPr>
      </w:pPr>
      <w:r>
        <w:rPr>
          <w:rFonts w:ascii="Calibri" w:hAnsi="Calibri"/>
          <w:sz w:val="22"/>
          <w:szCs w:val="22"/>
        </w:rPr>
        <w:t>zakup kasy fiskalnej.</w:t>
      </w:r>
    </w:p>
    <w:p>
      <w:pPr>
        <w:pStyle w:val="Normal"/>
        <w:tabs>
          <w:tab w:val="clear" w:pos="709"/>
          <w:tab w:val="left" w:pos="426" w:leader="none"/>
        </w:tabs>
        <w:spacing w:lineRule="atLeast" w:line="100"/>
        <w:jc w:val="both"/>
        <w:rPr>
          <w:rFonts w:ascii="Calibri" w:hAnsi="Calibri" w:cs="Times New Roman"/>
          <w:b/>
          <w:b/>
          <w:sz w:val="22"/>
          <w:szCs w:val="22"/>
        </w:rPr>
      </w:pPr>
      <w:r>
        <w:rPr>
          <w:rFonts w:cs="Times New Roman" w:ascii="Calibri" w:hAnsi="Calibri"/>
          <w:b/>
          <w:sz w:val="22"/>
          <w:szCs w:val="22"/>
        </w:rPr>
        <w:t xml:space="preserve">      </w:t>
      </w:r>
    </w:p>
    <w:p>
      <w:pPr>
        <w:pStyle w:val="Normal"/>
        <w:numPr>
          <w:ilvl w:val="0"/>
          <w:numId w:val="8"/>
        </w:numPr>
        <w:tabs>
          <w:tab w:val="clear" w:pos="709"/>
          <w:tab w:val="left" w:pos="1855" w:leader="none"/>
        </w:tabs>
        <w:spacing w:lineRule="atLeast" w:line="100"/>
        <w:ind w:left="284" w:right="0" w:hanging="284"/>
        <w:jc w:val="both"/>
        <w:rPr>
          <w:rFonts w:ascii="Calibri" w:hAnsi="Calibri" w:cs="Times New Roman"/>
          <w:b/>
          <w:b/>
          <w:sz w:val="22"/>
          <w:szCs w:val="22"/>
        </w:rPr>
      </w:pPr>
      <w:r>
        <w:rPr>
          <w:rFonts w:cs="Times New Roman" w:ascii="Calibri" w:hAnsi="Calibri"/>
          <w:b/>
          <w:sz w:val="22"/>
          <w:szCs w:val="22"/>
        </w:rPr>
        <w:t>Środki na prowadzenie działalności gospodarczej mogą być przyznane na:</w:t>
      </w:r>
    </w:p>
    <w:p>
      <w:pPr>
        <w:pStyle w:val="Normal"/>
        <w:jc w:val="both"/>
        <w:rPr>
          <w:rFonts w:ascii="Calibri" w:hAnsi="Calibri"/>
          <w:sz w:val="22"/>
          <w:szCs w:val="22"/>
        </w:rPr>
      </w:pPr>
      <w:r>
        <w:rPr>
          <w:rFonts w:ascii="Calibri" w:hAnsi="Calibri"/>
          <w:sz w:val="22"/>
          <w:szCs w:val="22"/>
        </w:rPr>
        <w:t xml:space="preserve">1. pokrycie kosztów pomocy prawnej, konsultacji i doradztwa związanych z podjęciem działalności      </w:t>
      </w:r>
    </w:p>
    <w:p>
      <w:pPr>
        <w:pStyle w:val="Normal"/>
        <w:jc w:val="both"/>
        <w:rPr/>
      </w:pPr>
      <w:r>
        <w:rPr>
          <w:rFonts w:ascii="Calibri" w:hAnsi="Calibri"/>
          <w:sz w:val="22"/>
          <w:szCs w:val="22"/>
        </w:rPr>
        <w:t xml:space="preserve">gospodarczej - do wysokości </w:t>
      </w:r>
      <w:r>
        <w:rPr>
          <w:rFonts w:ascii="Calibri" w:hAnsi="Calibri"/>
          <w:b/>
          <w:bCs/>
          <w:sz w:val="22"/>
          <w:szCs w:val="22"/>
        </w:rPr>
        <w:t>5%</w:t>
      </w:r>
      <w:r>
        <w:rPr>
          <w:rFonts w:ascii="Calibri" w:hAnsi="Calibri"/>
          <w:sz w:val="22"/>
          <w:szCs w:val="22"/>
        </w:rPr>
        <w:t xml:space="preserve"> kwoty wnioskowanej,</w:t>
      </w:r>
    </w:p>
    <w:p>
      <w:pPr>
        <w:pStyle w:val="Normal"/>
        <w:jc w:val="both"/>
        <w:rPr>
          <w:rFonts w:ascii="Calibri" w:hAnsi="Calibri"/>
          <w:sz w:val="22"/>
          <w:szCs w:val="22"/>
        </w:rPr>
      </w:pPr>
      <w:r>
        <w:rPr>
          <w:rFonts w:ascii="Calibri" w:hAnsi="Calibri"/>
          <w:sz w:val="22"/>
          <w:szCs w:val="22"/>
        </w:rPr>
        <w:t xml:space="preserve">2. zakup środków trwałych, maszyn, urządzeń - </w:t>
      </w:r>
      <w:r>
        <w:rPr>
          <w:rFonts w:ascii="Calibri" w:hAnsi="Calibri"/>
          <w:b/>
          <w:bCs/>
          <w:sz w:val="22"/>
          <w:szCs w:val="22"/>
        </w:rPr>
        <w:t>100%</w:t>
      </w:r>
      <w:r>
        <w:rPr>
          <w:rFonts w:ascii="Calibri" w:hAnsi="Calibri"/>
          <w:sz w:val="22"/>
          <w:szCs w:val="22"/>
        </w:rPr>
        <w:t xml:space="preserve"> kwoty wnioskowanej,</w:t>
      </w:r>
    </w:p>
    <w:p>
      <w:pPr>
        <w:pStyle w:val="Normal"/>
        <w:jc w:val="both"/>
        <w:rPr>
          <w:rFonts w:ascii="Calibri" w:hAnsi="Calibri"/>
          <w:sz w:val="22"/>
          <w:szCs w:val="22"/>
        </w:rPr>
      </w:pPr>
      <w:r>
        <w:rPr>
          <w:rFonts w:ascii="Calibri" w:hAnsi="Calibri"/>
          <w:sz w:val="22"/>
          <w:szCs w:val="22"/>
        </w:rPr>
        <w:t>3. zakup usług np. instalację oprogramowania, stworzenia strony internetowej - do wysokości</w:t>
        <w:br/>
      </w:r>
      <w:r>
        <w:rPr>
          <w:rFonts w:ascii="Calibri" w:hAnsi="Calibri"/>
          <w:b/>
          <w:bCs/>
          <w:sz w:val="22"/>
          <w:szCs w:val="22"/>
        </w:rPr>
        <w:t>10 %</w:t>
      </w:r>
      <w:r>
        <w:rPr>
          <w:rFonts w:ascii="Calibri" w:hAnsi="Calibri"/>
          <w:sz w:val="22"/>
          <w:szCs w:val="22"/>
        </w:rPr>
        <w:t xml:space="preserve"> kwoty wnioskowanej,</w:t>
      </w:r>
    </w:p>
    <w:p>
      <w:pPr>
        <w:pStyle w:val="Normal"/>
        <w:jc w:val="both"/>
        <w:rPr>
          <w:rFonts w:ascii="Calibri" w:hAnsi="Calibri"/>
          <w:sz w:val="22"/>
          <w:szCs w:val="22"/>
        </w:rPr>
      </w:pPr>
      <w:r>
        <w:rPr>
          <w:rFonts w:ascii="Calibri" w:hAnsi="Calibri"/>
          <w:sz w:val="22"/>
          <w:szCs w:val="22"/>
        </w:rPr>
        <w:t xml:space="preserve">4. zakup materiałów do produkcji lub/i towaru (nowego) do sprzedaży/w przypadku działalności handlowej/ -  do wysokości </w:t>
      </w:r>
      <w:r>
        <w:rPr>
          <w:rFonts w:ascii="Calibri" w:hAnsi="Calibri"/>
          <w:b/>
          <w:bCs/>
          <w:sz w:val="22"/>
          <w:szCs w:val="22"/>
        </w:rPr>
        <w:t>30%</w:t>
      </w:r>
      <w:r>
        <w:rPr>
          <w:rFonts w:ascii="Calibri" w:hAnsi="Calibri"/>
          <w:sz w:val="22"/>
          <w:szCs w:val="22"/>
        </w:rPr>
        <w:t xml:space="preserve"> kwoty wnioskowanej,</w:t>
      </w:r>
    </w:p>
    <w:p>
      <w:pPr>
        <w:pStyle w:val="Normal"/>
        <w:jc w:val="both"/>
        <w:rPr>
          <w:rFonts w:ascii="Calibri" w:hAnsi="Calibri"/>
          <w:sz w:val="22"/>
          <w:szCs w:val="22"/>
        </w:rPr>
      </w:pPr>
      <w:r>
        <w:rPr>
          <w:rFonts w:ascii="Calibri" w:hAnsi="Calibri"/>
          <w:sz w:val="22"/>
          <w:szCs w:val="22"/>
        </w:rPr>
        <w:t xml:space="preserve">5. zakup programów komputerowych lub zakup dostępu do ich użytkowania (zgodnie z profilem działalności gospodarczej) - </w:t>
      </w:r>
      <w:r>
        <w:rPr>
          <w:rFonts w:ascii="Calibri" w:hAnsi="Calibri"/>
          <w:b/>
          <w:bCs/>
          <w:sz w:val="22"/>
          <w:szCs w:val="22"/>
        </w:rPr>
        <w:t xml:space="preserve">100% </w:t>
      </w:r>
      <w:r>
        <w:rPr>
          <w:rFonts w:ascii="Calibri" w:hAnsi="Calibri"/>
          <w:sz w:val="22"/>
          <w:szCs w:val="22"/>
        </w:rPr>
        <w:t>kwoty wnioskowanej,</w:t>
      </w:r>
    </w:p>
    <w:p>
      <w:pPr>
        <w:pStyle w:val="Normal"/>
        <w:jc w:val="both"/>
        <w:rPr>
          <w:rFonts w:ascii="Calibri" w:hAnsi="Calibri"/>
          <w:sz w:val="22"/>
          <w:szCs w:val="22"/>
        </w:rPr>
      </w:pPr>
      <w:r>
        <w:rPr>
          <w:rFonts w:ascii="Calibri" w:hAnsi="Calibri"/>
          <w:sz w:val="22"/>
          <w:szCs w:val="22"/>
        </w:rPr>
        <w:t xml:space="preserve">6. pozyskanie lokalu użytkowego tzn. wynajem w wysokości do </w:t>
      </w:r>
      <w:r>
        <w:rPr>
          <w:rFonts w:ascii="Calibri" w:hAnsi="Calibri"/>
          <w:b w:val="false"/>
          <w:bCs w:val="false"/>
          <w:sz w:val="22"/>
          <w:szCs w:val="22"/>
        </w:rPr>
        <w:t>3-krotnej</w:t>
      </w:r>
      <w:r>
        <w:rPr>
          <w:rFonts w:ascii="Calibri" w:hAnsi="Calibri"/>
          <w:sz w:val="22"/>
          <w:szCs w:val="22"/>
        </w:rPr>
        <w:t xml:space="preserve"> miesięcznej stawki czynszu tj. opłaty z tytułu najmu - do wysokości </w:t>
      </w:r>
      <w:r>
        <w:rPr>
          <w:rFonts w:ascii="Calibri" w:hAnsi="Calibri"/>
          <w:b/>
          <w:bCs/>
          <w:sz w:val="22"/>
          <w:szCs w:val="22"/>
        </w:rPr>
        <w:t>20%</w:t>
      </w:r>
      <w:r>
        <w:rPr>
          <w:rFonts w:ascii="Calibri" w:hAnsi="Calibri"/>
          <w:sz w:val="22"/>
          <w:szCs w:val="22"/>
        </w:rPr>
        <w:t xml:space="preserve"> kwoty wnioskowanej,</w:t>
      </w:r>
    </w:p>
    <w:p>
      <w:pPr>
        <w:pStyle w:val="Normal"/>
        <w:jc w:val="both"/>
        <w:rPr>
          <w:rFonts w:ascii="Calibri" w:hAnsi="Calibri"/>
          <w:sz w:val="22"/>
          <w:szCs w:val="22"/>
        </w:rPr>
      </w:pPr>
      <w:r>
        <w:rPr>
          <w:rFonts w:ascii="Calibri" w:hAnsi="Calibri"/>
          <w:sz w:val="22"/>
          <w:szCs w:val="22"/>
        </w:rPr>
        <w:t xml:space="preserve">7. usługi adaptacyjne, materiały do adaptacji lokalu użytkowego - do wysokości </w:t>
      </w:r>
      <w:r>
        <w:rPr>
          <w:rFonts w:ascii="Calibri" w:hAnsi="Calibri"/>
          <w:b/>
          <w:bCs/>
          <w:sz w:val="22"/>
          <w:szCs w:val="22"/>
        </w:rPr>
        <w:t>20%</w:t>
      </w:r>
      <w:r>
        <w:rPr>
          <w:rFonts w:ascii="Calibri" w:hAnsi="Calibri"/>
          <w:sz w:val="22"/>
          <w:szCs w:val="22"/>
        </w:rPr>
        <w:t xml:space="preserve"> kwoty wnioskowanej,</w:t>
      </w:r>
    </w:p>
    <w:p>
      <w:pPr>
        <w:pStyle w:val="Normal"/>
        <w:jc w:val="both"/>
        <w:rPr>
          <w:rFonts w:ascii="Calibri" w:hAnsi="Calibri"/>
          <w:sz w:val="22"/>
          <w:szCs w:val="22"/>
        </w:rPr>
      </w:pPr>
      <w:r>
        <w:rPr>
          <w:rFonts w:ascii="Calibri" w:hAnsi="Calibri"/>
          <w:sz w:val="22"/>
          <w:szCs w:val="22"/>
        </w:rPr>
        <w:t xml:space="preserve">8. zakup samochodu ciężarowego w części nie przekraczającej </w:t>
      </w:r>
      <w:r>
        <w:rPr>
          <w:rFonts w:ascii="Calibri" w:hAnsi="Calibri"/>
          <w:b/>
          <w:bCs/>
          <w:sz w:val="22"/>
          <w:szCs w:val="22"/>
        </w:rPr>
        <w:t>50%</w:t>
      </w:r>
      <w:r>
        <w:rPr>
          <w:rFonts w:ascii="Calibri" w:hAnsi="Calibri"/>
          <w:sz w:val="22"/>
          <w:szCs w:val="22"/>
        </w:rPr>
        <w:t xml:space="preserve"> kwoty wnioskowanej</w:t>
        <w:br/>
        <w:t xml:space="preserve">/w sytuacji, w której wykorzystanie samochodu pozostaje w bezpośrednim związku z profilem zamierzonej działalności gospodarczej/ </w:t>
      </w:r>
      <w:r>
        <w:rPr>
          <w:rFonts w:ascii="Calibri" w:hAnsi="Calibri"/>
          <w:b/>
          <w:bCs/>
          <w:sz w:val="22"/>
          <w:szCs w:val="22"/>
        </w:rPr>
        <w:t>UWAGA!!!</w:t>
      </w:r>
      <w:r>
        <w:rPr>
          <w:rFonts w:ascii="Calibri" w:hAnsi="Calibri"/>
          <w:sz w:val="22"/>
          <w:szCs w:val="22"/>
        </w:rPr>
        <w:t xml:space="preserve"> Wiek zakupionego pojazdu nie może przekraczać 10 lat (wymóg posiadania prawa jazdy, OC oraz dowodu rejestracyjnego przepisanego na właściciela pojazdu),</w:t>
      </w:r>
    </w:p>
    <w:p>
      <w:pPr>
        <w:pStyle w:val="Normal"/>
        <w:jc w:val="both"/>
        <w:rPr>
          <w:rFonts w:ascii="Calibri" w:hAnsi="Calibri"/>
          <w:sz w:val="22"/>
          <w:szCs w:val="22"/>
        </w:rPr>
      </w:pPr>
      <w:r>
        <w:rPr>
          <w:rFonts w:ascii="Calibri" w:hAnsi="Calibri"/>
          <w:sz w:val="22"/>
          <w:szCs w:val="22"/>
        </w:rPr>
        <w:t>9. zakup telefonu komórkowego do wysokości 1 500,00 zł,</w:t>
      </w:r>
    </w:p>
    <w:p>
      <w:pPr>
        <w:pStyle w:val="Normal"/>
        <w:jc w:val="both"/>
        <w:rPr>
          <w:rFonts w:ascii="Calibri" w:hAnsi="Calibri"/>
          <w:sz w:val="22"/>
          <w:szCs w:val="22"/>
        </w:rPr>
      </w:pPr>
      <w:r>
        <w:rPr>
          <w:rFonts w:ascii="Calibri" w:hAnsi="Calibri"/>
          <w:sz w:val="22"/>
          <w:szCs w:val="22"/>
        </w:rPr>
        <w:t xml:space="preserve">10. reklamę w wysokości do </w:t>
      </w:r>
      <w:r>
        <w:rPr>
          <w:rFonts w:ascii="Calibri" w:hAnsi="Calibri"/>
          <w:b/>
          <w:bCs/>
          <w:sz w:val="22"/>
          <w:szCs w:val="22"/>
        </w:rPr>
        <w:t>20%</w:t>
      </w:r>
      <w:r>
        <w:rPr>
          <w:rFonts w:ascii="Calibri" w:hAnsi="Calibri"/>
          <w:sz w:val="22"/>
          <w:szCs w:val="22"/>
        </w:rPr>
        <w:t xml:space="preserve"> kwoty wnioskowanej,</w:t>
      </w:r>
    </w:p>
    <w:p>
      <w:pPr>
        <w:pStyle w:val="Normal"/>
        <w:jc w:val="both"/>
        <w:rPr>
          <w:rFonts w:ascii="Calibri" w:hAnsi="Calibri"/>
          <w:sz w:val="22"/>
          <w:szCs w:val="22"/>
        </w:rPr>
      </w:pPr>
      <w:r>
        <w:rPr>
          <w:rFonts w:ascii="Calibri" w:hAnsi="Calibri"/>
          <w:sz w:val="22"/>
          <w:szCs w:val="22"/>
        </w:rPr>
        <w:t>11. wydatki, które są adekwatne i racjonalne w kontekście prowadzonej działalności gospodarczej.</w:t>
      </w:r>
    </w:p>
    <w:p>
      <w:pPr>
        <w:pStyle w:val="Normal"/>
        <w:jc w:val="both"/>
        <w:rPr>
          <w:rFonts w:ascii="Calibri" w:hAnsi="Calibri"/>
          <w:sz w:val="22"/>
          <w:szCs w:val="22"/>
        </w:rPr>
      </w:pPr>
      <w:r>
        <w:rPr>
          <w:rFonts w:ascii="Calibri" w:hAnsi="Calibri"/>
          <w:sz w:val="22"/>
          <w:szCs w:val="22"/>
        </w:rPr>
      </w:r>
    </w:p>
    <w:p>
      <w:pPr>
        <w:pStyle w:val="Normal"/>
        <w:spacing w:lineRule="atLeast" w:line="100"/>
        <w:ind w:left="454" w:right="0" w:hanging="0"/>
        <w:jc w:val="both"/>
        <w:rPr>
          <w:rFonts w:ascii="Calibri" w:hAnsi="Calibri" w:cs="Times New Roman"/>
          <w:b w:val="false"/>
          <w:b w:val="false"/>
          <w:bCs w:val="false"/>
          <w:sz w:val="22"/>
          <w:szCs w:val="22"/>
        </w:rPr>
      </w:pPr>
      <w:r>
        <w:rPr>
          <w:rFonts w:cs="Times New Roman" w:ascii="Calibri" w:hAnsi="Calibri"/>
          <w:b/>
          <w:bCs/>
          <w:sz w:val="22"/>
          <w:szCs w:val="22"/>
          <w:u w:val="single"/>
        </w:rPr>
        <w:t>Uwaga !</w:t>
      </w:r>
      <w:r>
        <w:rPr>
          <w:rFonts w:cs="Times New Roman" w:ascii="Calibri" w:hAnsi="Calibri"/>
          <w:b w:val="false"/>
          <w:bCs w:val="false"/>
          <w:sz w:val="22"/>
          <w:szCs w:val="22"/>
          <w:u w:val="single"/>
        </w:rPr>
        <w:t xml:space="preserve"> Urząd zastrzega ograniczenie wysokości kwoty planowanych wydatków.</w:t>
      </w:r>
    </w:p>
    <w:p>
      <w:pPr>
        <w:pStyle w:val="Normal"/>
        <w:spacing w:lineRule="atLeast" w:line="100"/>
        <w:ind w:left="454" w:right="0" w:hanging="0"/>
        <w:jc w:val="both"/>
        <w:rPr>
          <w:rFonts w:ascii="Calibri" w:hAnsi="Calibri" w:cs="Times New Roman"/>
          <w:b w:val="false"/>
          <w:b w:val="false"/>
          <w:bCs w:val="false"/>
          <w:sz w:val="22"/>
          <w:szCs w:val="22"/>
          <w:u w:val="single"/>
        </w:rPr>
      </w:pPr>
      <w:r>
        <w:rPr>
          <w:rFonts w:cs="Times New Roman" w:ascii="Calibri" w:hAnsi="Calibri"/>
          <w:b w:val="false"/>
          <w:bCs w:val="false"/>
          <w:sz w:val="22"/>
          <w:szCs w:val="22"/>
          <w:u w:val="single"/>
        </w:rPr>
        <w:t>W szczególnych indywidualnych przypadkach decyzję w sprawie planowanych wydatków podejmuje Dyrektor Urzędu Pracy na pisemny wniosek  Wnioskodawcy.</w:t>
      </w:r>
    </w:p>
    <w:p>
      <w:pPr>
        <w:pStyle w:val="Normal"/>
        <w:spacing w:lineRule="atLeast" w:line="100"/>
        <w:jc w:val="both"/>
        <w:rPr>
          <w:rFonts w:ascii="Calibri" w:hAnsi="Calibri" w:cs="Times New Roman"/>
          <w:b w:val="false"/>
          <w:b w:val="false"/>
          <w:bCs w:val="false"/>
          <w:sz w:val="22"/>
          <w:szCs w:val="22"/>
          <w:u w:val="single"/>
        </w:rPr>
      </w:pPr>
      <w:r>
        <w:rPr>
          <w:rFonts w:cs="Times New Roman" w:ascii="Calibri" w:hAnsi="Calibri"/>
          <w:b w:val="false"/>
          <w:bCs w:val="false"/>
          <w:sz w:val="22"/>
          <w:szCs w:val="22"/>
          <w:u w:val="single"/>
        </w:rPr>
      </w:r>
    </w:p>
    <w:p>
      <w:pPr>
        <w:pStyle w:val="ListParagraph"/>
        <w:widowControl/>
        <w:numPr>
          <w:ilvl w:val="0"/>
          <w:numId w:val="8"/>
        </w:numPr>
        <w:bidi w:val="0"/>
        <w:spacing w:lineRule="atLeast" w:line="100"/>
        <w:ind w:left="284" w:right="0" w:hanging="263"/>
        <w:jc w:val="both"/>
        <w:rPr>
          <w:rFonts w:ascii="Calibri" w:hAnsi="Calibri" w:cs="Times New Roman"/>
          <w:sz w:val="22"/>
          <w:szCs w:val="22"/>
        </w:rPr>
      </w:pPr>
      <w:r>
        <w:rPr>
          <w:rFonts w:cs="Times New Roman" w:ascii="Calibri" w:hAnsi="Calibri"/>
          <w:sz w:val="22"/>
          <w:szCs w:val="22"/>
        </w:rPr>
        <w:t>Wszystkie informacje i dokumenty /certyfikaty, świadectwa, faktury, umowy itp./ winny być przedstawione w języku polskim. Koszty związane z usługą tłumaczenia przysięgłego ponosi Wnioskodawca. Przeliczenie wartości zakupu w walucie obcej na PLN będzie następowało</w:t>
        <w:br/>
        <w:t>według średniego kursu walut ogłaszanego przez Narodowy Bank Polski z ostatniego dnia roboczego poprzedzającego dzień dokonania transakcji. Poprzez transakcję rozumie się wystawienie faktury.</w:t>
      </w:r>
    </w:p>
    <w:p>
      <w:pPr>
        <w:pStyle w:val="ListParagraph"/>
        <w:spacing w:lineRule="atLeast" w:line="100"/>
        <w:ind w:left="284" w:right="0" w:hanging="0"/>
        <w:jc w:val="both"/>
        <w:rPr>
          <w:rFonts w:ascii="Calibri" w:hAnsi="Calibri"/>
          <w:sz w:val="22"/>
          <w:szCs w:val="22"/>
        </w:rPr>
      </w:pPr>
      <w:r>
        <w:rPr>
          <w:rFonts w:ascii="Calibri" w:hAnsi="Calibri"/>
          <w:sz w:val="22"/>
          <w:szCs w:val="22"/>
        </w:rPr>
      </w:r>
    </w:p>
    <w:p>
      <w:pPr>
        <w:pStyle w:val="ListParagraph"/>
        <w:widowControl/>
        <w:numPr>
          <w:ilvl w:val="0"/>
          <w:numId w:val="8"/>
        </w:numPr>
        <w:bidi w:val="0"/>
        <w:spacing w:lineRule="atLeast" w:line="100"/>
        <w:ind w:left="284" w:right="0" w:hanging="300"/>
        <w:jc w:val="both"/>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Wnioskodawca zobowiązany jest do przedstawienia tytułu prawnego do lokalu  w którym ma być prowadzona działalność gospodarcza np.:</w:t>
      </w:r>
    </w:p>
    <w:p>
      <w:pPr>
        <w:pStyle w:val="Normal"/>
        <w:numPr>
          <w:ilvl w:val="0"/>
          <w:numId w:val="1"/>
        </w:numPr>
        <w:spacing w:lineRule="auto"/>
        <w:jc w:val="both"/>
        <w:rPr>
          <w:rFonts w:ascii="Calibri" w:hAnsi="Calibri" w:cs="Times New Roman"/>
          <w:sz w:val="22"/>
          <w:szCs w:val="22"/>
        </w:rPr>
      </w:pPr>
      <w:r>
        <w:rPr>
          <w:rFonts w:cs="Times New Roman" w:ascii="Calibri" w:hAnsi="Calibri"/>
          <w:sz w:val="22"/>
          <w:szCs w:val="22"/>
        </w:rPr>
        <w:t>akt własności,</w:t>
      </w:r>
    </w:p>
    <w:p>
      <w:pPr>
        <w:pStyle w:val="Normal"/>
        <w:numPr>
          <w:ilvl w:val="0"/>
          <w:numId w:val="1"/>
        </w:numPr>
        <w:spacing w:lineRule="auto"/>
        <w:jc w:val="both"/>
        <w:rPr>
          <w:rFonts w:ascii="Calibri" w:hAnsi="Calibri" w:cs="Times New Roman"/>
          <w:sz w:val="22"/>
          <w:szCs w:val="22"/>
        </w:rPr>
      </w:pPr>
      <w:r>
        <w:rPr>
          <w:rFonts w:cs="Times New Roman" w:ascii="Calibri" w:hAnsi="Calibri"/>
          <w:sz w:val="22"/>
          <w:szCs w:val="22"/>
        </w:rPr>
        <w:t>umowa najmu - przedwstępna lub promesa,</w:t>
      </w:r>
    </w:p>
    <w:p>
      <w:pPr>
        <w:pStyle w:val="Normal"/>
        <w:numPr>
          <w:ilvl w:val="0"/>
          <w:numId w:val="1"/>
        </w:numPr>
        <w:spacing w:lineRule="auto"/>
        <w:jc w:val="both"/>
        <w:rPr>
          <w:rFonts w:ascii="Calibri" w:hAnsi="Calibri" w:cs="Times New Roman"/>
          <w:sz w:val="22"/>
          <w:szCs w:val="22"/>
        </w:rPr>
      </w:pPr>
      <w:r>
        <w:rPr>
          <w:rFonts w:cs="Times New Roman" w:ascii="Calibri" w:hAnsi="Calibri"/>
          <w:sz w:val="22"/>
          <w:szCs w:val="22"/>
        </w:rPr>
        <w:t>umowa użyczenia (zawarta między krewnymi I i II stopnia),</w:t>
      </w:r>
    </w:p>
    <w:p>
      <w:pPr>
        <w:pStyle w:val="Normal"/>
        <w:numPr>
          <w:ilvl w:val="0"/>
          <w:numId w:val="1"/>
        </w:numPr>
        <w:spacing w:lineRule="auto"/>
        <w:jc w:val="both"/>
        <w:rPr>
          <w:rFonts w:ascii="Calibri" w:hAnsi="Calibri" w:cs="Times New Roman"/>
          <w:sz w:val="22"/>
          <w:szCs w:val="22"/>
        </w:rPr>
      </w:pPr>
      <w:r>
        <w:rPr>
          <w:rFonts w:cs="Times New Roman" w:ascii="Calibri" w:hAnsi="Calibri"/>
          <w:sz w:val="22"/>
          <w:szCs w:val="22"/>
        </w:rPr>
        <w:t>w indywidualnych przypadkach wnioskodawca przedstawi niewymienione wyżej odpowiednie dokumenty np. zgodę zarządcy nieruchomości.</w:t>
      </w:r>
    </w:p>
    <w:p>
      <w:pPr>
        <w:pStyle w:val="Normal"/>
        <w:jc w:val="both"/>
        <w:rPr/>
      </w:pPr>
      <w:r>
        <w:rPr>
          <w:rFonts w:cs="Times New Roman" w:ascii="Calibri" w:hAnsi="Calibri"/>
          <w:sz w:val="22"/>
          <w:szCs w:val="22"/>
        </w:rPr>
        <w:t xml:space="preserve">     </w:t>
      </w:r>
      <w:r>
        <w:rPr>
          <w:rFonts w:cs="Times New Roman" w:ascii="Calibri" w:hAnsi="Calibri"/>
          <w:sz w:val="22"/>
          <w:szCs w:val="22"/>
        </w:rPr>
        <w:t>U</w:t>
      </w:r>
      <w:r>
        <w:rPr>
          <w:rFonts w:ascii="Calibri" w:hAnsi="Calibri"/>
          <w:sz w:val="22"/>
          <w:szCs w:val="22"/>
        </w:rPr>
        <w:t xml:space="preserve">mowy   te  winne  być  zawarte  na  okres  nie  krótszy  niż  </w:t>
      </w:r>
      <w:r>
        <w:rPr>
          <w:rFonts w:ascii="Calibri" w:hAnsi="Calibri"/>
          <w:color w:val="auto"/>
          <w:sz w:val="22"/>
          <w:szCs w:val="22"/>
        </w:rPr>
        <w:t>1</w:t>
      </w:r>
      <w:r>
        <w:rPr>
          <w:rFonts w:ascii="Calibri" w:hAnsi="Calibri"/>
          <w:color w:val="auto"/>
          <w:sz w:val="22"/>
          <w:szCs w:val="22"/>
        </w:rPr>
        <w:t>2</w:t>
      </w:r>
      <w:r>
        <w:rPr>
          <w:rFonts w:ascii="Calibri" w:hAnsi="Calibri"/>
          <w:sz w:val="22"/>
          <w:szCs w:val="22"/>
        </w:rPr>
        <w:t xml:space="preserve"> miesięcy od dnia rozpoczęcia działalności   </w:t>
      </w:r>
    </w:p>
    <w:p>
      <w:pPr>
        <w:pStyle w:val="Normal"/>
        <w:jc w:val="both"/>
        <w:rPr>
          <w:rFonts w:ascii="Calibri" w:hAnsi="Calibri"/>
          <w:sz w:val="22"/>
          <w:szCs w:val="22"/>
        </w:rPr>
      </w:pPr>
      <w:r>
        <w:rPr>
          <w:rFonts w:ascii="Calibri" w:hAnsi="Calibri"/>
          <w:sz w:val="22"/>
          <w:szCs w:val="22"/>
        </w:rPr>
        <w:t xml:space="preserve">     </w:t>
      </w:r>
      <w:r>
        <w:rPr>
          <w:rFonts w:ascii="Calibri" w:hAnsi="Calibri"/>
          <w:sz w:val="22"/>
          <w:szCs w:val="22"/>
        </w:rPr>
        <w:t xml:space="preserve">gospodarczej. Wszystkie dokumenty należy załączyć do wniosku w kserokopii /oryginał do wglądu/.         </w:t>
      </w:r>
    </w:p>
    <w:p>
      <w:pPr>
        <w:pStyle w:val="Normal"/>
        <w:jc w:val="both"/>
        <w:rPr>
          <w:rFonts w:ascii="Calibri" w:hAnsi="Calibri"/>
          <w:b/>
          <w:b/>
          <w:bCs/>
          <w:sz w:val="22"/>
          <w:szCs w:val="22"/>
        </w:rPr>
      </w:pPr>
      <w:r>
        <w:rPr>
          <w:rFonts w:ascii="Calibri" w:hAnsi="Calibri"/>
          <w:b/>
          <w:bCs/>
          <w:sz w:val="22"/>
          <w:szCs w:val="22"/>
        </w:rPr>
        <w:t xml:space="preserve">     </w:t>
      </w:r>
      <w:r>
        <w:rPr>
          <w:rFonts w:ascii="Calibri" w:hAnsi="Calibri"/>
          <w:b/>
          <w:bCs/>
          <w:sz w:val="22"/>
          <w:szCs w:val="22"/>
        </w:rPr>
        <w:t xml:space="preserve">Brak wskazania adresu stałego miejsca wykonywania działalności gospodarczej skutkuje negatywnym      </w:t>
      </w:r>
    </w:p>
    <w:p>
      <w:pPr>
        <w:pStyle w:val="Normal"/>
        <w:jc w:val="both"/>
        <w:rPr>
          <w:rFonts w:ascii="Calibri" w:hAnsi="Calibri"/>
          <w:b/>
          <w:b/>
          <w:bCs/>
          <w:sz w:val="22"/>
          <w:szCs w:val="22"/>
        </w:rPr>
      </w:pPr>
      <w:r>
        <w:rPr>
          <w:rFonts w:ascii="Calibri" w:hAnsi="Calibri"/>
          <w:b/>
          <w:bCs/>
          <w:sz w:val="22"/>
          <w:szCs w:val="22"/>
        </w:rPr>
        <w:t xml:space="preserve">     </w:t>
      </w:r>
      <w:r>
        <w:rPr>
          <w:rFonts w:ascii="Calibri" w:hAnsi="Calibri"/>
          <w:b/>
          <w:bCs/>
          <w:sz w:val="22"/>
          <w:szCs w:val="22"/>
        </w:rPr>
        <w:t>rozpatrzeniem wniosku.</w:t>
      </w:r>
    </w:p>
    <w:p>
      <w:pPr>
        <w:pStyle w:val="Normal"/>
        <w:jc w:val="both"/>
        <w:rPr>
          <w:rFonts w:ascii="Calibri" w:hAnsi="Calibri"/>
          <w:sz w:val="22"/>
          <w:szCs w:val="22"/>
        </w:rPr>
      </w:pPr>
      <w:r>
        <w:rPr>
          <w:rFonts w:ascii="Calibri" w:hAnsi="Calibri"/>
          <w:sz w:val="22"/>
          <w:szCs w:val="22"/>
        </w:rPr>
        <w:t xml:space="preserve">     </w:t>
      </w:r>
      <w:r>
        <w:rPr>
          <w:rFonts w:ascii="Calibri" w:hAnsi="Calibri"/>
          <w:sz w:val="22"/>
          <w:szCs w:val="22"/>
        </w:rPr>
        <w:t xml:space="preserve">W przypadku działalności mobilnej wnioskodawca powinien  poinformować Urząd o aktualnym miejscu   </w:t>
      </w:r>
    </w:p>
    <w:p>
      <w:pPr>
        <w:pStyle w:val="Normal"/>
        <w:jc w:val="both"/>
        <w:rPr>
          <w:rFonts w:ascii="Calibri" w:hAnsi="Calibri"/>
          <w:sz w:val="22"/>
          <w:szCs w:val="22"/>
        </w:rPr>
      </w:pPr>
      <w:r>
        <w:rPr>
          <w:rFonts w:ascii="Calibri" w:hAnsi="Calibri"/>
          <w:sz w:val="22"/>
          <w:szCs w:val="22"/>
        </w:rPr>
        <w:t xml:space="preserve">     </w:t>
      </w:r>
      <w:r>
        <w:rPr>
          <w:rFonts w:ascii="Calibri" w:hAnsi="Calibri"/>
          <w:sz w:val="22"/>
          <w:szCs w:val="22"/>
        </w:rPr>
        <w:t>świadczenia usług.</w:t>
      </w:r>
    </w:p>
    <w:p>
      <w:pPr>
        <w:pStyle w:val="Normal"/>
        <w:spacing w:lineRule="atLeast" w:line="100"/>
        <w:jc w:val="both"/>
        <w:rPr>
          <w:rFonts w:ascii="Calibri" w:hAnsi="Calibri" w:cs="Times New Roman"/>
          <w:sz w:val="22"/>
          <w:szCs w:val="22"/>
        </w:rPr>
      </w:pPr>
      <w:r>
        <w:rPr>
          <w:rFonts w:cs="Times New Roman" w:ascii="Calibri" w:hAnsi="Calibri"/>
          <w:sz w:val="22"/>
          <w:szCs w:val="22"/>
        </w:rPr>
      </w:r>
    </w:p>
    <w:p>
      <w:pPr>
        <w:pStyle w:val="Normal"/>
        <w:numPr>
          <w:ilvl w:val="0"/>
          <w:numId w:val="8"/>
        </w:numPr>
        <w:spacing w:lineRule="atLeast" w:line="100"/>
        <w:ind w:left="284" w:right="0" w:hanging="284"/>
        <w:jc w:val="both"/>
        <w:rPr>
          <w:rFonts w:ascii="Calibri" w:hAnsi="Calibri" w:cs="Times New Roman"/>
          <w:sz w:val="22"/>
          <w:szCs w:val="22"/>
        </w:rPr>
      </w:pPr>
      <w:r>
        <w:rPr>
          <w:rFonts w:cs="Times New Roman" w:ascii="Calibri" w:hAnsi="Calibri"/>
          <w:sz w:val="22"/>
          <w:szCs w:val="22"/>
        </w:rPr>
        <w:t xml:space="preserve">Zakupy nie mogą być dokonywane od osób najbliższych w szczególności: </w:t>
      </w:r>
      <w:r>
        <w:rPr>
          <w:rFonts w:cs="Times New Roman" w:ascii="Calibri" w:hAnsi="Calibri"/>
          <w:sz w:val="22"/>
          <w:szCs w:val="22"/>
        </w:rPr>
        <w:t xml:space="preserve">współmałżonka </w:t>
      </w:r>
      <w:r>
        <w:rPr>
          <w:rFonts w:cs="Times New Roman" w:ascii="Calibri" w:hAnsi="Calibri"/>
          <w:sz w:val="22"/>
          <w:szCs w:val="22"/>
        </w:rPr>
        <w:t xml:space="preserve"> wnioskodawcy,</w:t>
      </w:r>
      <w:r>
        <w:rPr>
          <w:rFonts w:cs="Times New Roman" w:ascii="Calibri" w:hAnsi="Calibri"/>
          <w:sz w:val="22"/>
          <w:szCs w:val="22"/>
        </w:rPr>
        <w:t xml:space="preserve"> </w:t>
      </w:r>
      <w:r>
        <w:rPr>
          <w:rFonts w:cs="Times New Roman" w:ascii="Calibri" w:hAnsi="Calibri"/>
          <w:sz w:val="22"/>
          <w:szCs w:val="22"/>
        </w:rPr>
        <w:t>wstępnych, zstępnych, teściów, rodzeństwa oraz ich współmałżonków.</w:t>
      </w:r>
    </w:p>
    <w:p>
      <w:pPr>
        <w:pStyle w:val="Normal"/>
        <w:spacing w:lineRule="atLeast" w:line="100"/>
        <w:ind w:left="284" w:right="0" w:hanging="284"/>
        <w:jc w:val="both"/>
        <w:rPr>
          <w:rFonts w:ascii="Calibri" w:hAnsi="Calibri" w:cs="Times New Roman"/>
          <w:sz w:val="22"/>
          <w:szCs w:val="22"/>
        </w:rPr>
      </w:pPr>
      <w:r>
        <w:rPr>
          <w:rFonts w:cs="Times New Roman" w:ascii="Calibri" w:hAnsi="Calibri"/>
          <w:sz w:val="22"/>
          <w:szCs w:val="22"/>
        </w:rPr>
        <w:tab/>
      </w:r>
    </w:p>
    <w:p>
      <w:pPr>
        <w:pStyle w:val="Normal"/>
        <w:numPr>
          <w:ilvl w:val="0"/>
          <w:numId w:val="8"/>
        </w:numPr>
        <w:spacing w:lineRule="atLeast" w:line="100"/>
        <w:ind w:left="284" w:right="0" w:hanging="284"/>
        <w:jc w:val="both"/>
        <w:rPr>
          <w:rFonts w:ascii="Calibri" w:hAnsi="Calibri"/>
          <w:sz w:val="22"/>
          <w:szCs w:val="22"/>
        </w:rPr>
      </w:pPr>
      <w:r>
        <w:rPr>
          <w:rFonts w:cs="Times New Roman" w:ascii="Calibri" w:hAnsi="Calibri"/>
          <w:sz w:val="22"/>
          <w:szCs w:val="22"/>
        </w:rPr>
        <w:t xml:space="preserve">Do otrzymania środków </w:t>
      </w:r>
      <w:r>
        <w:rPr>
          <w:rFonts w:cs="Times New Roman" w:ascii="Calibri" w:hAnsi="Calibri"/>
          <w:sz w:val="22"/>
          <w:szCs w:val="22"/>
        </w:rPr>
        <w:t>i podpisania umowy</w:t>
      </w:r>
      <w:r>
        <w:rPr>
          <w:rFonts w:cs="Times New Roman" w:ascii="Calibri" w:hAnsi="Calibri"/>
          <w:sz w:val="22"/>
          <w:szCs w:val="22"/>
        </w:rPr>
        <w:t xml:space="preserve"> </w:t>
      </w:r>
      <w:r>
        <w:rPr>
          <w:rFonts w:cs="Times New Roman" w:ascii="Calibri" w:hAnsi="Calibri"/>
          <w:sz w:val="22"/>
          <w:szCs w:val="22"/>
        </w:rPr>
        <w:t>na rozpoczęcie działalności gospodarczej wymagana jest zgoda współmałżonka osoby otrzymującej środki i zgoda współmałżonka poręczyciela złożona na piśmie w obecności upoważnionego pracownika Urzęd</w:t>
      </w:r>
      <w:r>
        <w:rPr>
          <w:rFonts w:cs="Times New Roman" w:ascii="Calibri" w:hAnsi="Calibri"/>
          <w:sz w:val="22"/>
          <w:szCs w:val="22"/>
        </w:rPr>
        <w:t xml:space="preserve">u </w:t>
      </w:r>
      <w:r>
        <w:rPr>
          <w:rFonts w:cs="Times New Roman" w:ascii="Calibri" w:hAnsi="Calibri"/>
          <w:sz w:val="22"/>
          <w:szCs w:val="22"/>
        </w:rPr>
        <w:t>lub</w:t>
      </w:r>
      <w:r>
        <w:rPr>
          <w:rFonts w:cs="Times New Roman" w:ascii="Calibri" w:hAnsi="Calibri"/>
          <w:sz w:val="22"/>
          <w:szCs w:val="22"/>
        </w:rPr>
        <w:t xml:space="preserve"> </w:t>
      </w:r>
      <w:r>
        <w:rPr>
          <w:rFonts w:cs="Times New Roman" w:ascii="Calibri" w:hAnsi="Calibri"/>
          <w:sz w:val="22"/>
          <w:szCs w:val="22"/>
        </w:rPr>
        <w:t xml:space="preserve"> </w:t>
      </w:r>
      <w:r>
        <w:rPr>
          <w:rFonts w:cs="Times New Roman" w:ascii="Calibri" w:hAnsi="Calibri"/>
          <w:sz w:val="22"/>
          <w:szCs w:val="22"/>
        </w:rPr>
        <w:t>(NOTARIUSZA)</w:t>
      </w:r>
      <w:r>
        <w:rPr>
          <w:rFonts w:cs="Times New Roman" w:ascii="Calibri" w:hAnsi="Calibri"/>
          <w:sz w:val="22"/>
          <w:szCs w:val="22"/>
        </w:rPr>
        <w:t xml:space="preserve">. </w:t>
      </w:r>
      <w:r>
        <w:rPr>
          <w:rFonts w:cs="Calibri" w:ascii="Calibri" w:hAnsi="Calibri"/>
          <w:sz w:val="22"/>
          <w:szCs w:val="22"/>
        </w:rPr>
        <w:t>W przypadku ustanowionej rozdzielności majątkowej - oryginał do wglądu. W przypadku rozwodu – prawomocny wyrok sądu orzekającego o rozwodzie lub akt małżeństwa z adnotacją o rozwodzie - oryginał do wglądu. W przypadku zgonu - akt zgonu lub akt małżeństwa z adnotacją o zgonie - oryginał do wglądu</w:t>
      </w:r>
      <w:r>
        <w:rPr>
          <w:rFonts w:cs="Times New Roman" w:ascii="Calibri" w:hAnsi="Calibri"/>
          <w:sz w:val="22"/>
          <w:szCs w:val="22"/>
        </w:rPr>
        <w:t>.</w:t>
      </w:r>
    </w:p>
    <w:p>
      <w:pPr>
        <w:pStyle w:val="Normal"/>
        <w:spacing w:lineRule="atLeast" w:line="100"/>
        <w:ind w:left="426" w:right="0" w:hanging="0"/>
        <w:jc w:val="both"/>
        <w:rPr>
          <w:rFonts w:ascii="Calibri" w:hAnsi="Calibri" w:cs="Times New Roman"/>
          <w:sz w:val="22"/>
          <w:szCs w:val="22"/>
        </w:rPr>
      </w:pPr>
      <w:r>
        <w:rPr>
          <w:rFonts w:cs="Times New Roman" w:ascii="Calibri" w:hAnsi="Calibri"/>
          <w:sz w:val="22"/>
          <w:szCs w:val="22"/>
        </w:rPr>
      </w:r>
    </w:p>
    <w:p>
      <w:pPr>
        <w:pStyle w:val="Normal"/>
        <w:numPr>
          <w:ilvl w:val="0"/>
          <w:numId w:val="8"/>
        </w:numPr>
        <w:spacing w:lineRule="atLeast" w:line="100"/>
        <w:ind w:left="426" w:right="0" w:hanging="426"/>
        <w:jc w:val="both"/>
        <w:rPr>
          <w:rFonts w:ascii="Calibri" w:hAnsi="Calibri"/>
          <w:sz w:val="22"/>
          <w:szCs w:val="22"/>
        </w:rPr>
      </w:pPr>
      <w:r>
        <w:rPr>
          <w:rFonts w:cs="Times New Roman" w:ascii="Calibri" w:hAnsi="Calibri"/>
          <w:sz w:val="22"/>
          <w:szCs w:val="22"/>
        </w:rPr>
        <w:t>Pierwszym etapem rozpatrzenia wniosku jest ocena formalno-prawna, drugim etapem jest ocena merytoryczna. Wnioski ocenione negatywnie na etapie formalno-prawnym nie są przekazywane do oceny merytorycznej  przez Zespół ds. oceny wniosków /</w:t>
      </w:r>
      <w:r>
        <w:rPr>
          <w:rFonts w:cs="Times New Roman" w:ascii="Calibri" w:hAnsi="Calibri"/>
          <w:i/>
          <w:sz w:val="22"/>
          <w:szCs w:val="22"/>
        </w:rPr>
        <w:t>powołany Zarządzeniem Dyrektora Grodzkiego Urzędu Pracy w Krakowie/.</w:t>
      </w:r>
    </w:p>
    <w:p>
      <w:pPr>
        <w:pStyle w:val="Normal"/>
        <w:spacing w:lineRule="atLeast" w:line="100"/>
        <w:ind w:left="426" w:right="0" w:hanging="0"/>
        <w:jc w:val="both"/>
        <w:rPr>
          <w:rFonts w:ascii="Calibri" w:hAnsi="Calibri" w:cs="Times New Roman"/>
          <w:sz w:val="22"/>
          <w:szCs w:val="22"/>
        </w:rPr>
      </w:pPr>
      <w:r>
        <w:rPr>
          <w:rFonts w:cs="Times New Roman" w:ascii="Calibri" w:hAnsi="Calibri"/>
          <w:sz w:val="22"/>
          <w:szCs w:val="22"/>
        </w:rPr>
      </w:r>
    </w:p>
    <w:p>
      <w:pPr>
        <w:pStyle w:val="Normal"/>
        <w:numPr>
          <w:ilvl w:val="0"/>
          <w:numId w:val="8"/>
        </w:numPr>
        <w:spacing w:lineRule="atLeast" w:line="100"/>
        <w:ind w:left="426" w:right="0" w:hanging="426"/>
        <w:jc w:val="both"/>
        <w:rPr>
          <w:rFonts w:ascii="Calibri" w:hAnsi="Calibri" w:cs="Times New Roman"/>
          <w:sz w:val="22"/>
          <w:szCs w:val="22"/>
        </w:rPr>
      </w:pPr>
      <w:r>
        <w:rPr>
          <w:rFonts w:cs="Times New Roman" w:ascii="Calibri" w:hAnsi="Calibri"/>
          <w:sz w:val="22"/>
          <w:szCs w:val="22"/>
        </w:rPr>
        <w:t>Ocena formalna wniosku polega na sprawdzeniu spełnienia wymogów zawartych w pkt   1 i  3 niniejszych zasad.</w:t>
      </w:r>
      <w:r>
        <w:rPr>
          <w:rFonts w:cs="Times New Roman" w:ascii="Calibri" w:hAnsi="Calibri"/>
          <w:sz w:val="22"/>
          <w:szCs w:val="22"/>
        </w:rPr>
        <w:t xml:space="preserve"> Niespełnienie któregokolwiek warunku powoduje, </w:t>
      </w:r>
      <w:r>
        <w:rPr>
          <w:rFonts w:cs="Times New Roman" w:ascii="Calibri" w:hAnsi="Calibri"/>
          <w:sz w:val="22"/>
          <w:szCs w:val="22"/>
        </w:rPr>
        <w:t>że wniosek nie zostaje uwzględniony.</w:t>
      </w:r>
    </w:p>
    <w:p>
      <w:pPr>
        <w:pStyle w:val="Normal"/>
        <w:spacing w:lineRule="atLeast" w:line="100"/>
        <w:ind w:left="426" w:right="0" w:hanging="0"/>
        <w:jc w:val="both"/>
        <w:rPr>
          <w:rFonts w:ascii="Calibri" w:hAnsi="Calibri" w:cs="Times New Roman"/>
          <w:sz w:val="22"/>
          <w:szCs w:val="22"/>
        </w:rPr>
      </w:pPr>
      <w:r>
        <w:rPr>
          <w:rFonts w:cs="Times New Roman" w:ascii="Calibri" w:hAnsi="Calibri"/>
          <w:sz w:val="22"/>
          <w:szCs w:val="22"/>
        </w:rPr>
      </w:r>
    </w:p>
    <w:p>
      <w:pPr>
        <w:pStyle w:val="Normal"/>
        <w:numPr>
          <w:ilvl w:val="0"/>
          <w:numId w:val="8"/>
        </w:numPr>
        <w:spacing w:lineRule="atLeast" w:line="100"/>
        <w:ind w:left="426" w:right="0" w:hanging="426"/>
        <w:jc w:val="both"/>
        <w:rPr>
          <w:rFonts w:ascii="Calibri" w:hAnsi="Calibri" w:cs="Times New Roman"/>
          <w:sz w:val="22"/>
          <w:szCs w:val="22"/>
        </w:rPr>
      </w:pPr>
      <w:r>
        <w:rPr>
          <w:rFonts w:cs="Times New Roman" w:ascii="Calibri" w:hAnsi="Calibri"/>
          <w:sz w:val="22"/>
          <w:szCs w:val="22"/>
        </w:rPr>
        <w:t>Zespół przy ocenie wniosków pod względem merytorycznym /ocena punktowa podana</w:t>
        <w:br/>
        <w:t>w formularzu dołączonym do wniosku/ bierze pod uwagę:</w:t>
      </w:r>
    </w:p>
    <w:p>
      <w:pPr>
        <w:pStyle w:val="ListParagraph"/>
        <w:numPr>
          <w:ilvl w:val="0"/>
          <w:numId w:val="9"/>
        </w:numPr>
        <w:spacing w:lineRule="atLeast" w:line="100"/>
        <w:jc w:val="both"/>
        <w:rPr>
          <w:rFonts w:ascii="Calibri" w:hAnsi="Calibri" w:cs="Times New Roman"/>
          <w:sz w:val="22"/>
          <w:szCs w:val="22"/>
        </w:rPr>
      </w:pPr>
      <w:r>
        <w:rPr>
          <w:rFonts w:cs="Times New Roman" w:ascii="Calibri" w:hAnsi="Calibri"/>
          <w:sz w:val="22"/>
          <w:szCs w:val="22"/>
        </w:rPr>
        <w:t>rodzaj działalności gospodarczej /produkcja, usługi, handel/,</w:t>
      </w:r>
    </w:p>
    <w:p>
      <w:pPr>
        <w:pStyle w:val="ListParagraph"/>
        <w:numPr>
          <w:ilvl w:val="0"/>
          <w:numId w:val="9"/>
        </w:numPr>
        <w:spacing w:lineRule="atLeast" w:line="100"/>
        <w:jc w:val="both"/>
        <w:rPr>
          <w:rFonts w:ascii="Calibri" w:hAnsi="Calibri" w:cs="Times New Roman"/>
          <w:sz w:val="22"/>
          <w:szCs w:val="22"/>
        </w:rPr>
      </w:pPr>
      <w:r>
        <w:rPr>
          <w:rFonts w:cs="Times New Roman" w:ascii="Calibri" w:hAnsi="Calibri"/>
          <w:sz w:val="22"/>
          <w:szCs w:val="22"/>
        </w:rPr>
        <w:t>posiadane kwalifikacje oraz doświadczenie zawodowe bezrobotnego /certyfikaty, świadectwa, kursy, szkolenia, świadectwa pracy, umowy cywilnoprawne, zaświadczenia/,</w:t>
      </w:r>
    </w:p>
    <w:p>
      <w:pPr>
        <w:pStyle w:val="ListParagraph"/>
        <w:numPr>
          <w:ilvl w:val="0"/>
          <w:numId w:val="9"/>
        </w:numPr>
        <w:spacing w:lineRule="atLeast" w:line="100"/>
        <w:jc w:val="both"/>
        <w:rPr>
          <w:rFonts w:ascii="Calibri" w:hAnsi="Calibri" w:cs="Times New Roman"/>
          <w:sz w:val="22"/>
          <w:szCs w:val="22"/>
        </w:rPr>
      </w:pPr>
      <w:r>
        <w:rPr>
          <w:rFonts w:cs="Times New Roman" w:ascii="Calibri" w:hAnsi="Calibri"/>
          <w:sz w:val="22"/>
          <w:szCs w:val="22"/>
        </w:rPr>
        <w:t>podjęte przedsięwzięcia w kierunku uruchomienia działalności gospodarczej /listy intencyjne, umowy przedwstępne z podmiotami gospodarczymi i osobami fizycznymi,</w:t>
      </w:r>
    </w:p>
    <w:p>
      <w:pPr>
        <w:pStyle w:val="ListParagraph"/>
        <w:numPr>
          <w:ilvl w:val="0"/>
          <w:numId w:val="9"/>
        </w:numPr>
        <w:spacing w:lineRule="atLeast" w:line="100"/>
        <w:jc w:val="both"/>
        <w:rPr>
          <w:rFonts w:ascii="Calibri" w:hAnsi="Calibri" w:cs="Times New Roman"/>
          <w:sz w:val="22"/>
          <w:szCs w:val="22"/>
        </w:rPr>
      </w:pPr>
      <w:r>
        <w:rPr>
          <w:rFonts w:cs="Times New Roman" w:ascii="Calibri" w:hAnsi="Calibri"/>
          <w:sz w:val="22"/>
          <w:szCs w:val="22"/>
        </w:rPr>
        <w:t>przedłożenie aktualnego tytułu prawnego do lokalu (akt własności, umowa najmu, umowa użyczenia, promesa, umowa przedwstępna itp.),</w:t>
      </w:r>
    </w:p>
    <w:p>
      <w:pPr>
        <w:pStyle w:val="ListParagraph"/>
        <w:numPr>
          <w:ilvl w:val="0"/>
          <w:numId w:val="9"/>
        </w:numPr>
        <w:spacing w:lineRule="atLeast" w:line="100"/>
        <w:jc w:val="both"/>
        <w:rPr>
          <w:rFonts w:ascii="Calibri" w:hAnsi="Calibri" w:cs="Times New Roman"/>
          <w:sz w:val="22"/>
          <w:szCs w:val="22"/>
        </w:rPr>
      </w:pPr>
      <w:r>
        <w:rPr>
          <w:rFonts w:cs="Times New Roman" w:ascii="Calibri" w:hAnsi="Calibri"/>
          <w:sz w:val="22"/>
          <w:szCs w:val="22"/>
        </w:rPr>
        <w:t>opis planowanego przedsięwzięcia,</w:t>
      </w:r>
    </w:p>
    <w:p>
      <w:pPr>
        <w:pStyle w:val="ListParagraph"/>
        <w:numPr>
          <w:ilvl w:val="0"/>
          <w:numId w:val="9"/>
        </w:numPr>
        <w:spacing w:lineRule="atLeast" w:line="100"/>
        <w:jc w:val="both"/>
        <w:rPr>
          <w:rFonts w:ascii="Calibri" w:hAnsi="Calibri" w:cs="Times New Roman"/>
          <w:sz w:val="22"/>
          <w:szCs w:val="22"/>
        </w:rPr>
      </w:pPr>
      <w:r>
        <w:rPr>
          <w:rFonts w:cs="Times New Roman" w:ascii="Calibri" w:hAnsi="Calibri"/>
          <w:sz w:val="22"/>
          <w:szCs w:val="22"/>
        </w:rPr>
        <w:t>planowane wydatki.</w:t>
      </w:r>
    </w:p>
    <w:p>
      <w:pPr>
        <w:pStyle w:val="ListParagraph"/>
        <w:tabs>
          <w:tab w:val="clear" w:pos="709"/>
          <w:tab w:val="left" w:pos="847" w:leader="none"/>
        </w:tabs>
        <w:spacing w:lineRule="atLeast" w:line="100"/>
        <w:ind w:left="397" w:right="0" w:hanging="397"/>
        <w:jc w:val="both"/>
        <w:rPr>
          <w:rFonts w:ascii="Calibri" w:hAnsi="Calibri" w:cs="Times New Roman"/>
          <w:sz w:val="22"/>
          <w:szCs w:val="22"/>
        </w:rPr>
      </w:pPr>
      <w:r>
        <w:rPr>
          <w:rFonts w:cs="Times New Roman" w:ascii="Calibri" w:hAnsi="Calibri"/>
          <w:sz w:val="22"/>
          <w:szCs w:val="22"/>
        </w:rPr>
        <w:tab/>
        <w:t>W trakcie oceny merytorycznej Urząd może przeprowadzić wizytę wstępną w miejscu, w którym ma być prowadzona działalność gospodarcza.</w:t>
      </w:r>
    </w:p>
    <w:p>
      <w:pPr>
        <w:pStyle w:val="ListParagraph"/>
        <w:tabs>
          <w:tab w:val="clear" w:pos="709"/>
          <w:tab w:val="left" w:pos="426" w:leader="none"/>
        </w:tabs>
        <w:spacing w:lineRule="atLeast" w:line="100"/>
        <w:ind w:left="426" w:right="0" w:hanging="0"/>
        <w:jc w:val="both"/>
        <w:rPr>
          <w:rFonts w:ascii="Calibri" w:hAnsi="Calibri" w:cs="Times New Roman"/>
          <w:sz w:val="22"/>
          <w:szCs w:val="22"/>
        </w:rPr>
      </w:pPr>
      <w:r>
        <w:rPr>
          <w:rFonts w:cs="Times New Roman" w:ascii="Calibri" w:hAnsi="Calibri"/>
          <w:sz w:val="22"/>
          <w:szCs w:val="22"/>
        </w:rPr>
      </w:r>
    </w:p>
    <w:p>
      <w:pPr>
        <w:pStyle w:val="Normal"/>
        <w:widowControl/>
        <w:numPr>
          <w:ilvl w:val="0"/>
          <w:numId w:val="8"/>
        </w:numPr>
        <w:tabs>
          <w:tab w:val="clear" w:pos="709"/>
          <w:tab w:val="left" w:pos="426" w:leader="none"/>
        </w:tabs>
        <w:bidi w:val="0"/>
        <w:spacing w:lineRule="atLeast" w:line="100"/>
        <w:ind w:left="454" w:right="0" w:hanging="454"/>
        <w:jc w:val="both"/>
        <w:rPr>
          <w:rFonts w:ascii="Calibri" w:hAnsi="Calibri"/>
          <w:sz w:val="22"/>
          <w:szCs w:val="22"/>
        </w:rPr>
      </w:pPr>
      <w:r>
        <w:rPr>
          <w:rFonts w:cs="Times New Roman" w:ascii="Calibri" w:hAnsi="Calibri"/>
          <w:sz w:val="22"/>
          <w:szCs w:val="22"/>
        </w:rPr>
        <w:t xml:space="preserve">Na podstawie dokonanej oceny punktowej wniosku, Dyrektor Urzędu przyznaje dofinansowanie biorąc pod uwagę: ilość otrzymanych punktów /minimum 60%, tj. 24 punkty z 40 możliwych/ oraz limit środków przeznaczonych na ten cel. </w:t>
      </w:r>
      <w:r>
        <w:rPr>
          <w:rFonts w:cs="Times New Roman" w:ascii="Calibri" w:hAnsi="Calibri"/>
          <w:color w:val="000000"/>
          <w:sz w:val="22"/>
          <w:szCs w:val="22"/>
        </w:rPr>
        <w:t xml:space="preserve">Ze względu na limit środków dofinansowanie zostanie przyznane osobom, które otrzymają w ocenie merytorycznej najwyższą ilość punktów. </w:t>
      </w:r>
    </w:p>
    <w:p>
      <w:pPr>
        <w:pStyle w:val="Normal"/>
        <w:widowControl/>
        <w:numPr>
          <w:ilvl w:val="0"/>
          <w:numId w:val="0"/>
        </w:numPr>
        <w:tabs>
          <w:tab w:val="clear" w:pos="709"/>
          <w:tab w:val="left" w:pos="426" w:leader="none"/>
        </w:tabs>
        <w:bidi w:val="0"/>
        <w:spacing w:lineRule="atLeast" w:line="100"/>
        <w:ind w:left="1440" w:right="0" w:hanging="0"/>
        <w:jc w:val="both"/>
        <w:rPr>
          <w:rFonts w:ascii="Calibri" w:hAnsi="Calibri" w:cs="Times New Roman"/>
          <w:color w:val="000000"/>
          <w:sz w:val="22"/>
          <w:szCs w:val="22"/>
        </w:rPr>
      </w:pPr>
      <w:r>
        <w:rPr>
          <w:rFonts w:cs="Times New Roman" w:ascii="Calibri" w:hAnsi="Calibri"/>
          <w:color w:val="000000"/>
          <w:sz w:val="22"/>
          <w:szCs w:val="22"/>
        </w:rPr>
      </w:r>
    </w:p>
    <w:p>
      <w:pPr>
        <w:pStyle w:val="ListParagraph"/>
        <w:widowControl/>
        <w:numPr>
          <w:ilvl w:val="0"/>
          <w:numId w:val="8"/>
        </w:numPr>
        <w:tabs>
          <w:tab w:val="clear" w:pos="709"/>
          <w:tab w:val="left" w:pos="426" w:leader="none"/>
          <w:tab w:val="left" w:pos="1075" w:leader="none"/>
        </w:tabs>
        <w:bidi w:val="0"/>
        <w:spacing w:lineRule="atLeast" w:line="100"/>
        <w:ind w:left="454" w:right="0" w:hanging="454"/>
        <w:jc w:val="both"/>
        <w:rPr>
          <w:rFonts w:ascii="Calibri" w:hAnsi="Calibri" w:cs="Times New Roman"/>
          <w:color w:val="000000"/>
          <w:sz w:val="22"/>
          <w:szCs w:val="22"/>
        </w:rPr>
      </w:pPr>
      <w:r>
        <w:rPr>
          <w:rFonts w:cs="Times New Roman" w:ascii="Calibri" w:hAnsi="Calibri"/>
          <w:color w:val="000000"/>
          <w:sz w:val="22"/>
          <w:szCs w:val="22"/>
        </w:rPr>
        <w:t>O uwzględnieniu lub odmowie uwzględnienia wniosku o dofinansowanie /z podaniem przyczyny Wnioskodawca zostaje powiadomiony w terminie 30 dni od dnia złożenia kompletnego wniosku.</w:t>
      </w:r>
    </w:p>
    <w:p>
      <w:pPr>
        <w:pStyle w:val="ListParagraph"/>
        <w:widowControl/>
        <w:numPr>
          <w:ilvl w:val="0"/>
          <w:numId w:val="0"/>
        </w:numPr>
        <w:tabs>
          <w:tab w:val="clear" w:pos="709"/>
          <w:tab w:val="left" w:pos="426" w:leader="none"/>
          <w:tab w:val="left" w:pos="1075" w:leader="none"/>
        </w:tabs>
        <w:bidi w:val="0"/>
        <w:spacing w:lineRule="atLeast" w:line="100"/>
        <w:ind w:left="1440" w:right="0" w:hanging="0"/>
        <w:jc w:val="both"/>
        <w:rPr>
          <w:rFonts w:ascii="Calibri" w:hAnsi="Calibri" w:cs="Times New Roman"/>
          <w:color w:val="000000"/>
          <w:sz w:val="22"/>
          <w:szCs w:val="22"/>
        </w:rPr>
      </w:pPr>
      <w:r>
        <w:rPr>
          <w:rFonts w:cs="Times New Roman" w:ascii="Calibri" w:hAnsi="Calibri"/>
          <w:color w:val="000000"/>
          <w:sz w:val="22"/>
          <w:szCs w:val="22"/>
        </w:rPr>
      </w:r>
    </w:p>
    <w:p>
      <w:pPr>
        <w:pStyle w:val="ListParagraph"/>
        <w:widowControl/>
        <w:numPr>
          <w:ilvl w:val="0"/>
          <w:numId w:val="8"/>
        </w:numPr>
        <w:tabs>
          <w:tab w:val="clear" w:pos="709"/>
          <w:tab w:val="left" w:pos="426" w:leader="none"/>
          <w:tab w:val="left" w:pos="1075" w:leader="none"/>
        </w:tabs>
        <w:bidi w:val="0"/>
        <w:spacing w:lineRule="atLeast" w:line="100"/>
        <w:ind w:left="454" w:right="0" w:hanging="454"/>
        <w:jc w:val="both"/>
        <w:rPr>
          <w:rFonts w:cs="Times New Roman"/>
          <w:color w:val="000000"/>
          <w:sz w:val="22"/>
          <w:szCs w:val="22"/>
        </w:rPr>
      </w:pPr>
      <w:r>
        <w:rPr>
          <w:rStyle w:val="Domylnaczcionkaakapitu"/>
          <w:rFonts w:cs="Times New Roman" w:ascii="Calibri" w:hAnsi="Calibri"/>
          <w:b w:val="false"/>
          <w:bCs w:val="false"/>
          <w:i w:val="false"/>
          <w:iCs w:val="false"/>
          <w:color w:val="000000"/>
          <w:sz w:val="22"/>
          <w:szCs w:val="22"/>
          <w:u w:val="none"/>
        </w:rPr>
        <w:t>Preferowane będą osoby, które zamierzają zarejestrować i prowadzić działalność gospodarczą na terenie Gminy Miejskiej Kraków.</w:t>
      </w:r>
    </w:p>
    <w:p>
      <w:pPr>
        <w:pStyle w:val="Normal"/>
        <w:tabs>
          <w:tab w:val="clear" w:pos="709"/>
          <w:tab w:val="left" w:pos="426" w:leader="none"/>
        </w:tabs>
        <w:spacing w:lineRule="atLeast" w:line="100"/>
        <w:ind w:left="426" w:right="0" w:hanging="0"/>
        <w:jc w:val="both"/>
        <w:rPr>
          <w:rFonts w:ascii="Calibri" w:hAnsi="Calibri"/>
          <w:sz w:val="22"/>
          <w:szCs w:val="22"/>
        </w:rPr>
      </w:pPr>
      <w:r>
        <w:rPr>
          <w:rFonts w:ascii="Calibri" w:hAnsi="Calibri"/>
          <w:sz w:val="22"/>
          <w:szCs w:val="22"/>
        </w:rPr>
      </w:r>
    </w:p>
    <w:p>
      <w:pPr>
        <w:pStyle w:val="Normal"/>
        <w:numPr>
          <w:ilvl w:val="0"/>
          <w:numId w:val="8"/>
        </w:numPr>
        <w:tabs>
          <w:tab w:val="clear" w:pos="709"/>
          <w:tab w:val="left" w:pos="438" w:leader="none"/>
        </w:tabs>
        <w:spacing w:lineRule="atLeast" w:line="100"/>
        <w:ind w:left="426" w:right="0" w:hanging="426"/>
        <w:jc w:val="both"/>
        <w:rPr>
          <w:rFonts w:ascii="Calibri" w:hAnsi="Calibri" w:cs="Times New Roman"/>
          <w:sz w:val="22"/>
          <w:szCs w:val="22"/>
        </w:rPr>
      </w:pPr>
      <w:r>
        <w:rPr>
          <w:rFonts w:cs="Times New Roman" w:ascii="Calibri" w:hAnsi="Calibri"/>
          <w:sz w:val="22"/>
          <w:szCs w:val="22"/>
        </w:rPr>
        <w:t>Przyznanie Wnioskodawcy dofinansowania jest dokonane na podstawie umowy cywilnoprawnej zawartej na piśmie pod rygorem nieważności.</w:t>
      </w:r>
    </w:p>
    <w:p>
      <w:pPr>
        <w:pStyle w:val="Normal"/>
        <w:numPr>
          <w:ilvl w:val="0"/>
          <w:numId w:val="0"/>
        </w:numPr>
        <w:tabs>
          <w:tab w:val="clear" w:pos="709"/>
          <w:tab w:val="left" w:pos="438" w:leader="none"/>
        </w:tabs>
        <w:spacing w:lineRule="atLeast" w:line="100"/>
        <w:ind w:left="1440" w:right="0" w:hanging="0"/>
        <w:jc w:val="both"/>
        <w:rPr>
          <w:rFonts w:ascii="Calibri" w:hAnsi="Calibri" w:cs="Times New Roman"/>
          <w:sz w:val="22"/>
          <w:szCs w:val="22"/>
        </w:rPr>
      </w:pPr>
      <w:r>
        <w:rPr>
          <w:rFonts w:cs="Times New Roman" w:ascii="Calibri" w:hAnsi="Calibri"/>
          <w:sz w:val="22"/>
          <w:szCs w:val="22"/>
        </w:rPr>
      </w:r>
    </w:p>
    <w:p>
      <w:pPr>
        <w:pStyle w:val="Normal"/>
        <w:numPr>
          <w:ilvl w:val="0"/>
          <w:numId w:val="8"/>
        </w:numPr>
        <w:tabs>
          <w:tab w:val="clear" w:pos="709"/>
          <w:tab w:val="left" w:pos="438" w:leader="none"/>
        </w:tabs>
        <w:spacing w:lineRule="atLeast" w:line="100"/>
        <w:ind w:left="426" w:right="0" w:hanging="426"/>
        <w:jc w:val="both"/>
        <w:rPr>
          <w:rFonts w:ascii="Calibri" w:hAnsi="Calibri" w:cs="Times New Roman"/>
          <w:b/>
          <w:b/>
          <w:bCs/>
          <w:sz w:val="22"/>
          <w:szCs w:val="22"/>
        </w:rPr>
      </w:pPr>
      <w:r>
        <w:rPr>
          <w:rFonts w:cs="Times New Roman" w:ascii="Calibri" w:hAnsi="Calibri"/>
          <w:b/>
          <w:bCs/>
          <w:sz w:val="22"/>
          <w:szCs w:val="22"/>
        </w:rPr>
        <w:t>Umowa o przyznanie dofinansowania zawiera w szczególności zobowiązanie Wnioskodawcy  do:</w:t>
      </w:r>
    </w:p>
    <w:p>
      <w:pPr>
        <w:pStyle w:val="ListParagraph"/>
        <w:numPr>
          <w:ilvl w:val="0"/>
          <w:numId w:val="10"/>
        </w:numPr>
        <w:spacing w:lineRule="atLeast" w:line="100"/>
        <w:jc w:val="both"/>
        <w:rPr>
          <w:rFonts w:ascii="Calibri" w:hAnsi="Calibri" w:cs="Times New Roman"/>
          <w:sz w:val="22"/>
          <w:szCs w:val="22"/>
        </w:rPr>
      </w:pPr>
      <w:r>
        <w:rPr>
          <w:rFonts w:cs="Times New Roman" w:ascii="Calibri" w:hAnsi="Calibri"/>
          <w:sz w:val="22"/>
          <w:szCs w:val="22"/>
        </w:rPr>
        <w:t>dokonania wpisu do ewidencji CEiIDG zgodnie z terminem wskazanym w umowie,</w:t>
      </w:r>
    </w:p>
    <w:p>
      <w:pPr>
        <w:pStyle w:val="ListParagraph"/>
        <w:numPr>
          <w:ilvl w:val="0"/>
          <w:numId w:val="10"/>
        </w:numPr>
        <w:spacing w:lineRule="atLeast" w:line="100"/>
        <w:jc w:val="both"/>
        <w:rPr>
          <w:rFonts w:ascii="Calibri" w:hAnsi="Calibri" w:cs="Times New Roman"/>
          <w:sz w:val="22"/>
          <w:szCs w:val="22"/>
        </w:rPr>
      </w:pPr>
      <w:r>
        <w:rPr>
          <w:rFonts w:cs="Times New Roman" w:ascii="Calibri" w:hAnsi="Calibri"/>
          <w:sz w:val="22"/>
          <w:szCs w:val="22"/>
        </w:rPr>
        <w:t>przedstawienia w Grodzkim Urzędzie Pracy potwierdzenia wpływu przyznanego dofinansowania na rachunek Wnioskodawcy, w terminie 7 dni od otrzymania środków,</w:t>
      </w:r>
    </w:p>
    <w:p>
      <w:pPr>
        <w:pStyle w:val="ListParagraph"/>
        <w:numPr>
          <w:ilvl w:val="0"/>
          <w:numId w:val="10"/>
        </w:numPr>
        <w:spacing w:lineRule="atLeast" w:line="100"/>
        <w:jc w:val="both"/>
        <w:rPr/>
      </w:pPr>
      <w:r>
        <w:rPr>
          <w:rFonts w:cs="Times New Roman" w:ascii="Calibri" w:hAnsi="Calibri"/>
          <w:sz w:val="22"/>
          <w:szCs w:val="22"/>
        </w:rPr>
        <w:t xml:space="preserve">prowadzenia działalności gospodarczej przez okres co najmniej 12 miesięcy; </w:t>
      </w:r>
      <w:r>
        <w:rPr>
          <w:rFonts w:cs="Times New Roman" w:ascii="Calibri" w:hAnsi="Calibri"/>
          <w:color w:val="auto"/>
          <w:sz w:val="22"/>
          <w:szCs w:val="22"/>
        </w:rPr>
        <w:t>do okresu prowadzenia działalności gospodarczej zalicza się przerwy w jej prowadzeniu z powodu choroby lub korzystania ze świadczenia rehabilitacyjnego. Do okresu prowadzenia działalności gospodarczej nie wlicza się okresu zawieszenia wykonywania działalności gospodarczej. Do okresu prowadzenia działalności gospodarczej wlicza się okres prowadzenia przedsiębiorstwa przez zarządcę sukcesyjnego lub właściciela przedsiębiorstwa w spadku, o którym mowa w art. 3 pkt. 1 i 2 ustawy z dnia 5 lipca 2018r. O zarządzie sukcesyjnym przedsiębiorstwem osoby fizycznej i innych ułatwieniach związanych</w:t>
      </w:r>
      <w:r>
        <w:rPr>
          <w:rFonts w:cs="Times New Roman" w:ascii="Calibri" w:hAnsi="Calibri"/>
          <w:sz w:val="22"/>
          <w:szCs w:val="22"/>
        </w:rPr>
        <w:t xml:space="preserve"> </w:t>
      </w:r>
      <w:r>
        <w:rPr>
          <w:rFonts w:cs="Times New Roman" w:ascii="Calibri" w:hAnsi="Calibri"/>
          <w:sz w:val="22"/>
          <w:szCs w:val="22"/>
        </w:rPr>
        <w:t>z sukcesją przedsiębiorstw.</w:t>
      </w:r>
    </w:p>
    <w:p>
      <w:pPr>
        <w:pStyle w:val="ListParagraph"/>
        <w:numPr>
          <w:ilvl w:val="0"/>
          <w:numId w:val="0"/>
        </w:numPr>
        <w:spacing w:lineRule="atLeast" w:line="100"/>
        <w:ind w:left="1440" w:right="0" w:hanging="0"/>
        <w:jc w:val="both"/>
        <w:rPr/>
      </w:pPr>
      <w:r>
        <w:rPr>
          <w:rFonts w:cs="Times New Roman" w:ascii="Calibri" w:hAnsi="Calibri"/>
          <w:sz w:val="22"/>
          <w:szCs w:val="22"/>
        </w:rPr>
        <w:t>B</w:t>
      </w:r>
      <w:r>
        <w:rPr>
          <w:rFonts w:cs="Times New Roman" w:ascii="Calibri" w:hAnsi="Calibri"/>
          <w:sz w:val="22"/>
          <w:szCs w:val="22"/>
        </w:rPr>
        <w:t>ezrobotny, absolwent CIS, absolwent KIS lub opiekun może w okresie obowiązywania stanu zagrożenia epidemicznego albo stanu epidemii, ogłoszonego z powodu COVID-19, oraz w okresie 30 dni po ich odwołaniu podjąć zatrudnienie lub zawiesić wykonywanie działalności gospodarczej na okres dłuższy niż 6 miesięcy.</w:t>
      </w:r>
    </w:p>
    <w:p>
      <w:pPr>
        <w:pStyle w:val="ListParagraph"/>
        <w:numPr>
          <w:ilvl w:val="0"/>
          <w:numId w:val="10"/>
        </w:numPr>
        <w:spacing w:lineRule="atLeast" w:line="100"/>
        <w:jc w:val="both"/>
        <w:rPr>
          <w:rFonts w:ascii="Calibri" w:hAnsi="Calibri" w:cs="Times New Roman"/>
          <w:sz w:val="22"/>
          <w:szCs w:val="22"/>
        </w:rPr>
      </w:pPr>
      <w:r>
        <w:rPr>
          <w:rFonts w:cs="Times New Roman" w:ascii="Calibri" w:hAnsi="Calibri"/>
          <w:sz w:val="22"/>
          <w:szCs w:val="22"/>
        </w:rPr>
        <w:t>wydatkowania otrzymanych środków zgodnie ze specyfikacją wydatków podaną we wniosku o dofinansowanie,</w:t>
      </w:r>
    </w:p>
    <w:p>
      <w:pPr>
        <w:pStyle w:val="ListParagraph"/>
        <w:numPr>
          <w:ilvl w:val="0"/>
          <w:numId w:val="10"/>
        </w:numPr>
        <w:spacing w:lineRule="atLeast" w:line="100"/>
        <w:jc w:val="both"/>
        <w:rPr>
          <w:rFonts w:ascii="Calibri" w:hAnsi="Calibri"/>
          <w:sz w:val="22"/>
          <w:szCs w:val="22"/>
        </w:rPr>
      </w:pPr>
      <w:r>
        <w:rPr>
          <w:rFonts w:cs="Times New Roman" w:ascii="Calibri" w:hAnsi="Calibri"/>
          <w:sz w:val="22"/>
          <w:szCs w:val="22"/>
          <w:u w:val="single"/>
        </w:rPr>
        <w:t>udokumentowania i rozliczenia wydatkowania otrzymanych środków w terminie dwóch miesięcy od dnia rozpoczęcia działalności gospodarczej</w:t>
      </w:r>
      <w:r>
        <w:rPr>
          <w:rFonts w:cs="Times New Roman" w:ascii="Calibri" w:hAnsi="Calibri"/>
          <w:sz w:val="22"/>
          <w:szCs w:val="22"/>
        </w:rPr>
        <w:t xml:space="preserve">. Rozliczenie wydatkowania przyznanego dofinansowania jest dokonywane w kwocie brutto, na podstawie dokumentów potwierdzających w sposób wiarygodny poniesienie określonych kosztów (faktury VAT, rachunki, umowy kupna  wraz z potwierdzeniem wpłaty podatku). </w:t>
      </w:r>
      <w:r>
        <w:rPr>
          <w:rFonts w:cs="Times New Roman" w:ascii="Calibri" w:hAnsi="Calibri"/>
          <w:color w:val="000000"/>
          <w:sz w:val="22"/>
          <w:szCs w:val="22"/>
        </w:rPr>
        <w:t xml:space="preserve">Wartość poszczególnej rzeczy używanej zakupionej w oparciu o umowę sprzedaży winna przekraczać 5 000,00 zł  brutto (słownie pięć tysięcy złotych). </w:t>
      </w:r>
    </w:p>
    <w:p>
      <w:pPr>
        <w:pStyle w:val="ListParagraph"/>
        <w:numPr>
          <w:ilvl w:val="0"/>
          <w:numId w:val="0"/>
        </w:numPr>
        <w:spacing w:lineRule="atLeast" w:line="100"/>
        <w:ind w:left="1440" w:right="0" w:hanging="0"/>
        <w:jc w:val="both"/>
        <w:rPr>
          <w:rFonts w:ascii="Calibri" w:hAnsi="Calibri"/>
          <w:sz w:val="22"/>
          <w:szCs w:val="22"/>
        </w:rPr>
      </w:pPr>
      <w:r>
        <w:rPr>
          <w:rFonts w:cs="Times New Roman" w:ascii="Calibri" w:hAnsi="Calibri"/>
          <w:b/>
          <w:sz w:val="22"/>
          <w:szCs w:val="22"/>
        </w:rPr>
        <w:t>W przypadku wydatków określonych w</w:t>
      </w:r>
      <w:r>
        <w:rPr>
          <w:rFonts w:cs="Times New Roman" w:ascii="Calibri" w:hAnsi="Calibri"/>
          <w:b/>
          <w:sz w:val="22"/>
          <w:szCs w:val="22"/>
        </w:rPr>
        <w:t xml:space="preserve"> pkt 5 </w:t>
      </w:r>
      <w:r>
        <w:rPr>
          <w:rFonts w:cs="Times New Roman" w:ascii="Calibri" w:hAnsi="Calibri"/>
          <w:sz w:val="22"/>
          <w:szCs w:val="22"/>
        </w:rPr>
        <w:t xml:space="preserve"> r</w:t>
      </w:r>
      <w:r>
        <w:rPr>
          <w:rFonts w:cs="Times New Roman" w:ascii="Calibri" w:hAnsi="Calibri"/>
          <w:sz w:val="22"/>
          <w:szCs w:val="22"/>
        </w:rPr>
        <w:t xml:space="preserve">ozliczenie nastąpi wyłącznie na podstawie rachunku lub faktury wydanej przez podmiot prowadzący działalność w tym zakresie. W rozliczeniu przedmiotowych środków wykazywane są kwoty wydatków z uwzględnieniem podatku od towarów i usług z informacją  </w:t>
      </w:r>
      <w:r>
        <w:rPr>
          <w:rFonts w:cs="Times New Roman" w:ascii="Calibri" w:hAnsi="Calibri"/>
          <w:i/>
          <w:sz w:val="22"/>
          <w:szCs w:val="22"/>
        </w:rPr>
        <w:t>w formie oświadczenia/</w:t>
      </w:r>
      <w:r>
        <w:rPr>
          <w:rFonts w:cs="Times New Roman" w:ascii="Calibri" w:hAnsi="Calibri"/>
          <w:sz w:val="22"/>
          <w:szCs w:val="22"/>
        </w:rPr>
        <w:t xml:space="preserve"> czy Wnioskodawcy przysługuje prawo do obniżenia kwoty podatku należnego o kwotę podatku naliczonego zawartego w wykazywanych wydatkach lub prawo do zwrotu podatku naliczonego,</w:t>
      </w:r>
    </w:p>
    <w:p>
      <w:pPr>
        <w:pStyle w:val="ListParagraph"/>
        <w:numPr>
          <w:ilvl w:val="0"/>
          <w:numId w:val="10"/>
        </w:numPr>
        <w:spacing w:lineRule="atLeast" w:line="100"/>
        <w:jc w:val="both"/>
        <w:rPr>
          <w:rFonts w:ascii="Calibri" w:hAnsi="Calibri"/>
          <w:sz w:val="22"/>
          <w:szCs w:val="22"/>
        </w:rPr>
      </w:pPr>
      <w:r>
        <w:rPr>
          <w:rFonts w:cs="Times New Roman" w:ascii="Calibri" w:hAnsi="Calibri"/>
          <w:sz w:val="22"/>
          <w:szCs w:val="22"/>
        </w:rPr>
        <w:t>zwrotu równowartości odliczonego lub zwróconego</w:t>
      </w:r>
      <w:r>
        <w:rPr>
          <w:rFonts w:cs="Times New Roman" w:ascii="Calibri" w:hAnsi="Calibri"/>
          <w:sz w:val="22"/>
          <w:szCs w:val="22"/>
        </w:rPr>
        <w:t xml:space="preserve"> /</w:t>
      </w:r>
      <w:r>
        <w:rPr>
          <w:rFonts w:cs="Times New Roman" w:ascii="Calibri" w:hAnsi="Calibri"/>
          <w:i/>
          <w:iCs/>
          <w:sz w:val="22"/>
          <w:szCs w:val="22"/>
        </w:rPr>
        <w:t>zgodnie z ustawą z dnia 11 marca 2004 r. o podatku od towarów i usług/</w:t>
      </w:r>
      <w:r>
        <w:rPr>
          <w:rFonts w:cs="Times New Roman" w:ascii="Calibri" w:hAnsi="Calibri"/>
          <w:sz w:val="22"/>
          <w:szCs w:val="22"/>
        </w:rPr>
        <w:t xml:space="preserve"> podatku naliczon</w:t>
      </w:r>
      <w:r>
        <w:rPr>
          <w:rFonts w:cs="Times New Roman" w:ascii="Calibri" w:hAnsi="Calibri"/>
          <w:sz w:val="22"/>
          <w:szCs w:val="22"/>
        </w:rPr>
        <w:t>ego dotyczącego zakupionych towarów i usług           w ramach przyznanego dofinansowania w terminie:</w:t>
      </w:r>
    </w:p>
    <w:p>
      <w:pPr>
        <w:pStyle w:val="ListParagraph"/>
        <w:numPr>
          <w:ilvl w:val="0"/>
          <w:numId w:val="11"/>
        </w:numPr>
        <w:spacing w:lineRule="atLeast" w:line="100"/>
        <w:ind w:left="993" w:right="0" w:hanging="284"/>
        <w:jc w:val="both"/>
        <w:rPr>
          <w:rFonts w:ascii="Calibri" w:hAnsi="Calibri"/>
          <w:sz w:val="22"/>
          <w:szCs w:val="22"/>
        </w:rPr>
      </w:pPr>
      <w:r>
        <w:rPr>
          <w:rFonts w:cs="Times New Roman" w:ascii="Calibri" w:hAnsi="Calibri"/>
          <w:sz w:val="22"/>
          <w:szCs w:val="22"/>
        </w:rPr>
        <w:t xml:space="preserve">określonym w umowie o dofinansowanie, nie dłuższym jednak niż </w:t>
      </w:r>
      <w:r>
        <w:rPr>
          <w:rFonts w:cs="Times New Roman" w:ascii="Calibri" w:hAnsi="Calibri"/>
          <w:b/>
          <w:sz w:val="22"/>
          <w:szCs w:val="22"/>
        </w:rPr>
        <w:t>90 dni od</w:t>
      </w:r>
      <w:r>
        <w:rPr>
          <w:rFonts w:cs="Times New Roman" w:ascii="Calibri" w:hAnsi="Calibri"/>
          <w:sz w:val="22"/>
          <w:szCs w:val="22"/>
        </w:rPr>
        <w:t xml:space="preserve"> dnia złożenia przez „Otrzymującego środki” deklaracji podatkowej, dotyczącej podatku od towarów i usług, w której wykazano kwotę podatku naliczonego z tego tytułu – w przypadku, gdy z deklaracji za dany okres rozliczeniowy wynika kwota podatku podlegająca wpłacie do Urzędu Skarbowego lub kwota do przeniesienia na następny okres rozliczeniowy,</w:t>
      </w:r>
    </w:p>
    <w:p>
      <w:pPr>
        <w:pStyle w:val="ListParagraph"/>
        <w:numPr>
          <w:ilvl w:val="0"/>
          <w:numId w:val="11"/>
        </w:numPr>
        <w:spacing w:lineRule="atLeast" w:line="100"/>
        <w:ind w:left="993" w:right="0" w:hanging="284"/>
        <w:jc w:val="both"/>
        <w:rPr>
          <w:rFonts w:ascii="Calibri" w:hAnsi="Calibri" w:cs="Times New Roman"/>
          <w:sz w:val="22"/>
          <w:szCs w:val="22"/>
        </w:rPr>
      </w:pPr>
      <w:r>
        <w:rPr>
          <w:rFonts w:cs="Times New Roman" w:ascii="Calibri" w:hAnsi="Calibri"/>
          <w:sz w:val="22"/>
          <w:szCs w:val="22"/>
        </w:rPr>
        <w:t>30 dni od dnia dokonania przez Urząd Skarbowy zwrotu podatku na rzecz „Otrzymującego środki” – w przypadku, gdy z deklaracji podatkowej dotyczącej podatku od towarów i usług,          w której wykazano kwotę podatku naliczonego z tego tytułu, za dany okres rozliczeniowy wynika kwota do zwrotu,</w:t>
      </w:r>
    </w:p>
    <w:p>
      <w:pPr>
        <w:pStyle w:val="ListParagraph"/>
        <w:numPr>
          <w:ilvl w:val="0"/>
          <w:numId w:val="10"/>
        </w:numPr>
        <w:spacing w:lineRule="atLeast" w:line="100"/>
        <w:jc w:val="both"/>
        <w:rPr>
          <w:rFonts w:ascii="Calibri" w:hAnsi="Calibri" w:cs="Times New Roman"/>
          <w:sz w:val="22"/>
          <w:szCs w:val="22"/>
        </w:rPr>
      </w:pPr>
      <w:r>
        <w:rPr>
          <w:rFonts w:cs="Times New Roman" w:ascii="Calibri" w:hAnsi="Calibri"/>
          <w:sz w:val="22"/>
          <w:szCs w:val="22"/>
        </w:rPr>
        <w:t>zwrotu w ciągu 30 dni od dnia otrzymania wezwania Starosty przyznanych środków wraz                     z odsetkami ustawowymi naliczonymi od dnia ich uzyskania, jeżeli:</w:t>
      </w:r>
    </w:p>
    <w:p>
      <w:pPr>
        <w:pStyle w:val="ListParagraph"/>
        <w:numPr>
          <w:ilvl w:val="0"/>
          <w:numId w:val="12"/>
        </w:numPr>
        <w:spacing w:lineRule="atLeast" w:line="100"/>
        <w:jc w:val="both"/>
        <w:rPr>
          <w:rFonts w:ascii="Calibri" w:hAnsi="Calibri" w:cs="Times New Roman"/>
          <w:sz w:val="22"/>
          <w:szCs w:val="22"/>
        </w:rPr>
      </w:pPr>
      <w:r>
        <w:rPr>
          <w:rFonts w:cs="Times New Roman" w:ascii="Calibri" w:hAnsi="Calibri"/>
          <w:sz w:val="22"/>
          <w:szCs w:val="22"/>
        </w:rPr>
        <w:t>otrzymane środki wykorzysta niezgodnie z przeznaczeniem,</w:t>
      </w:r>
    </w:p>
    <w:p>
      <w:pPr>
        <w:pStyle w:val="ListParagraph"/>
        <w:numPr>
          <w:ilvl w:val="0"/>
          <w:numId w:val="12"/>
        </w:numPr>
        <w:spacing w:lineRule="atLeast" w:line="100"/>
        <w:jc w:val="both"/>
        <w:rPr>
          <w:rFonts w:ascii="Calibri" w:hAnsi="Calibri" w:cs="Times New Roman"/>
          <w:sz w:val="22"/>
          <w:szCs w:val="22"/>
        </w:rPr>
      </w:pPr>
      <w:r>
        <w:rPr>
          <w:rFonts w:cs="Times New Roman" w:ascii="Calibri" w:hAnsi="Calibri"/>
          <w:sz w:val="22"/>
          <w:szCs w:val="22"/>
        </w:rPr>
        <w:t xml:space="preserve">będzie prowadził działalność gospodarczą przez okres krótszy niż </w:t>
      </w:r>
      <w:r>
        <w:rPr>
          <w:rFonts w:cs="Times New Roman" w:ascii="Calibri" w:hAnsi="Calibri"/>
          <w:sz w:val="22"/>
          <w:szCs w:val="22"/>
        </w:rPr>
        <w:t>12</w:t>
      </w:r>
      <w:r>
        <w:rPr>
          <w:rFonts w:cs="Times New Roman" w:ascii="Calibri" w:hAnsi="Calibri"/>
          <w:sz w:val="22"/>
          <w:szCs w:val="22"/>
        </w:rPr>
        <w:t xml:space="preserve"> miesięcy,</w:t>
      </w:r>
    </w:p>
    <w:p>
      <w:pPr>
        <w:pStyle w:val="ListParagraph"/>
        <w:numPr>
          <w:ilvl w:val="0"/>
          <w:numId w:val="12"/>
        </w:numPr>
        <w:spacing w:lineRule="atLeast" w:line="100"/>
        <w:jc w:val="both"/>
        <w:rPr>
          <w:rFonts w:ascii="Calibri" w:hAnsi="Calibri"/>
          <w:sz w:val="22"/>
          <w:szCs w:val="22"/>
        </w:rPr>
      </w:pPr>
      <w:r>
        <w:rPr>
          <w:rFonts w:cs="Times New Roman" w:ascii="Calibri" w:hAnsi="Calibri"/>
          <w:sz w:val="22"/>
          <w:szCs w:val="22"/>
        </w:rPr>
        <w:t xml:space="preserve">złoży niezgodne z prawdą oświadczenia, zaświadczenia lub informacje - </w:t>
      </w:r>
      <w:r>
        <w:rPr>
          <w:rFonts w:cs="Times New Roman" w:ascii="Calibri" w:hAnsi="Calibri"/>
          <w:b/>
          <w:bCs/>
          <w:sz w:val="22"/>
          <w:szCs w:val="22"/>
        </w:rPr>
        <w:t>pkt 1f</w:t>
      </w:r>
      <w:r>
        <w:rPr>
          <w:rFonts w:cs="Times New Roman" w:ascii="Calibri" w:hAnsi="Calibri"/>
          <w:sz w:val="22"/>
          <w:szCs w:val="22"/>
        </w:rPr>
        <w:t>,</w:t>
      </w:r>
    </w:p>
    <w:p>
      <w:pPr>
        <w:pStyle w:val="ListParagraph"/>
        <w:numPr>
          <w:ilvl w:val="0"/>
          <w:numId w:val="12"/>
        </w:numPr>
        <w:spacing w:lineRule="atLeast" w:line="100"/>
        <w:jc w:val="both"/>
        <w:rPr>
          <w:rFonts w:ascii="Calibri" w:hAnsi="Calibri" w:cs="Times New Roman"/>
          <w:sz w:val="22"/>
          <w:szCs w:val="22"/>
        </w:rPr>
      </w:pPr>
      <w:r>
        <w:rPr>
          <w:rFonts w:cs="Times New Roman" w:ascii="Calibri" w:hAnsi="Calibri"/>
          <w:sz w:val="22"/>
          <w:szCs w:val="22"/>
        </w:rPr>
        <w:t>naruszy inne warunki umowy,</w:t>
      </w:r>
    </w:p>
    <w:p>
      <w:pPr>
        <w:pStyle w:val="ListParagraph"/>
        <w:numPr>
          <w:ilvl w:val="0"/>
          <w:numId w:val="10"/>
        </w:numPr>
        <w:spacing w:lineRule="atLeast" w:line="100"/>
        <w:jc w:val="both"/>
        <w:rPr>
          <w:rFonts w:ascii="Calibri" w:hAnsi="Calibri" w:cs="Times New Roman"/>
          <w:sz w:val="22"/>
          <w:szCs w:val="22"/>
        </w:rPr>
      </w:pPr>
      <w:r>
        <w:rPr>
          <w:rFonts w:cs="Times New Roman" w:ascii="Calibri" w:hAnsi="Calibri"/>
          <w:sz w:val="22"/>
          <w:szCs w:val="22"/>
        </w:rPr>
        <w:t>osoba, która otrzymała jednorazowo środki na podjęcie działalności gospodarczej polegającej na prowadzeniu żłobka lub klubu dziecięcego z miejscami integracyjnymi lub polegającej na świadczeniu usług rehabilitacyjnych dla dzieci niepełnosprawnych w miejscu zamieszkania, w tym usług mobilnych, jest zobowiązana dokonać zwrotu w terminie 30 dni od dnia doręczenia wezwania starosty, otrzymanych środków proporcjonalnie do okresu, jaki pozostał do 12 miesięcy prowadzenia działalności gospodarczej, jeśli prowadził działalność gospodarczą przez okres krótszy niż 12 miesięcy. W przypadku naruszenia innych warunków umowy stosuje się pkt 17 g.</w:t>
      </w:r>
    </w:p>
    <w:p>
      <w:pPr>
        <w:pStyle w:val="Normal"/>
        <w:numPr>
          <w:ilvl w:val="0"/>
          <w:numId w:val="10"/>
        </w:numPr>
        <w:tabs>
          <w:tab w:val="clear" w:pos="709"/>
          <w:tab w:val="left" w:pos="438" w:leader="none"/>
        </w:tabs>
        <w:spacing w:lineRule="atLeast" w:line="100" w:before="0" w:after="0"/>
        <w:jc w:val="both"/>
        <w:rPr>
          <w:rFonts w:cs="Times New Roman"/>
          <w:sz w:val="22"/>
          <w:szCs w:val="22"/>
        </w:rPr>
      </w:pPr>
      <w:r>
        <w:rPr>
          <w:rStyle w:val="Domylnaczcionkaakapitu"/>
          <w:rFonts w:cs="Times New Roman" w:ascii="Calibri" w:hAnsi="Calibri"/>
          <w:b w:val="false"/>
          <w:bCs w:val="false"/>
          <w:i w:val="false"/>
          <w:iCs w:val="false"/>
          <w:color w:val="000000"/>
          <w:sz w:val="22"/>
          <w:szCs w:val="22"/>
          <w:u w:val="none"/>
        </w:rPr>
        <w:t>odkupienia z własnych środków rzeczy w przypadku ich kradzieży, zaginięcia lub zniszczenia.</w:t>
      </w:r>
    </w:p>
    <w:p>
      <w:pPr>
        <w:pStyle w:val="Normal"/>
        <w:numPr>
          <w:ilvl w:val="0"/>
          <w:numId w:val="0"/>
        </w:numPr>
        <w:tabs>
          <w:tab w:val="clear" w:pos="709"/>
          <w:tab w:val="left" w:pos="438" w:leader="none"/>
        </w:tabs>
        <w:spacing w:lineRule="atLeast" w:line="100" w:before="0" w:after="0"/>
        <w:ind w:left="720" w:hanging="0"/>
        <w:jc w:val="both"/>
        <w:rPr>
          <w:rStyle w:val="Domylnaczcionkaakapitu"/>
          <w:rFonts w:ascii="Calibri" w:hAnsi="Calibri"/>
          <w:b w:val="false"/>
          <w:b w:val="false"/>
          <w:bCs w:val="false"/>
          <w:i w:val="false"/>
          <w:i w:val="false"/>
          <w:iCs w:val="false"/>
          <w:color w:val="000000"/>
          <w:highlight w:val="yellow"/>
          <w:u w:val="none"/>
        </w:rPr>
      </w:pPr>
      <w:r>
        <w:rPr>
          <w:rFonts w:cs="Times New Roman"/>
          <w:sz w:val="22"/>
          <w:szCs w:val="22"/>
        </w:rPr>
      </w:r>
    </w:p>
    <w:p>
      <w:pPr>
        <w:pStyle w:val="Normal"/>
        <w:widowControl/>
        <w:numPr>
          <w:ilvl w:val="0"/>
          <w:numId w:val="0"/>
        </w:numPr>
        <w:tabs>
          <w:tab w:val="clear" w:pos="709"/>
          <w:tab w:val="left" w:pos="438" w:leader="none"/>
        </w:tabs>
        <w:bidi w:val="0"/>
        <w:spacing w:lineRule="atLeast" w:line="100" w:before="0" w:after="0"/>
        <w:ind w:left="663" w:right="0" w:hanging="0"/>
        <w:jc w:val="both"/>
        <w:rPr>
          <w:rFonts w:cs="Times New Roman"/>
          <w:sz w:val="22"/>
          <w:szCs w:val="22"/>
        </w:rPr>
      </w:pPr>
      <w:r>
        <w:rPr>
          <w:rStyle w:val="Domylnaczcionkaakapitu"/>
          <w:rFonts w:cs="Times New Roman" w:ascii="Calibri" w:hAnsi="Calibri"/>
          <w:b/>
          <w:bCs/>
          <w:i w:val="false"/>
          <w:iCs w:val="false"/>
          <w:color w:val="000000"/>
          <w:sz w:val="22"/>
          <w:szCs w:val="22"/>
          <w:u w:val="none"/>
        </w:rPr>
        <w:t>18</w:t>
      </w:r>
      <w:r>
        <w:rPr>
          <w:rStyle w:val="Domylnaczcionkaakapitu"/>
          <w:rFonts w:cs="Times New Roman" w:ascii="Calibri" w:hAnsi="Calibri"/>
          <w:b w:val="false"/>
          <w:bCs w:val="false"/>
          <w:i w:val="false"/>
          <w:iCs w:val="false"/>
          <w:color w:val="000000"/>
          <w:sz w:val="22"/>
          <w:szCs w:val="22"/>
          <w:u w:val="none"/>
        </w:rPr>
        <w:t xml:space="preserve">. </w:t>
      </w:r>
      <w:r>
        <w:rPr>
          <w:rStyle w:val="Domylnaczcionkaakapitu"/>
          <w:rFonts w:cs="Times New Roman" w:ascii="Calibri" w:hAnsi="Calibri"/>
          <w:b w:val="false"/>
          <w:bCs w:val="false"/>
          <w:i w:val="false"/>
          <w:iCs w:val="false"/>
          <w:color w:val="000000"/>
          <w:sz w:val="22"/>
          <w:szCs w:val="22"/>
          <w:u w:val="none"/>
        </w:rPr>
        <w:t>W</w:t>
      </w:r>
      <w:r>
        <w:rPr>
          <w:rStyle w:val="Domylnaczcionkaakapitu"/>
          <w:rFonts w:cs="Times New Roman" w:ascii="Calibri" w:hAnsi="Calibri"/>
          <w:b w:val="false"/>
          <w:bCs w:val="false"/>
          <w:i w:val="false"/>
          <w:iCs w:val="false"/>
          <w:color w:val="000000"/>
          <w:sz w:val="22"/>
          <w:szCs w:val="22"/>
          <w:u w:val="none"/>
        </w:rPr>
        <w:t xml:space="preserve"> </w:t>
      </w:r>
      <w:r>
        <w:rPr>
          <w:rStyle w:val="Domylnaczcionkaakapitu"/>
          <w:rFonts w:cs="Times New Roman" w:ascii="Calibri" w:hAnsi="Calibri"/>
          <w:b w:val="false"/>
          <w:bCs w:val="false"/>
          <w:i w:val="false"/>
          <w:iCs w:val="false"/>
          <w:color w:val="000000"/>
          <w:sz w:val="22"/>
          <w:szCs w:val="22"/>
          <w:u w:val="none"/>
        </w:rPr>
        <w:t xml:space="preserve"> przypadku śmierci bezrobotnego, absolwenta CIS, absolwenta KIS lub opiekuna w okresie od   </w:t>
      </w:r>
    </w:p>
    <w:p>
      <w:pPr>
        <w:pStyle w:val="Normal"/>
        <w:widowControl/>
        <w:numPr>
          <w:ilvl w:val="0"/>
          <w:numId w:val="0"/>
        </w:numPr>
        <w:tabs>
          <w:tab w:val="clear" w:pos="709"/>
          <w:tab w:val="left" w:pos="438" w:leader="none"/>
        </w:tabs>
        <w:bidi w:val="0"/>
        <w:spacing w:lineRule="atLeast" w:line="100" w:before="0" w:after="0"/>
        <w:ind w:left="720" w:right="0" w:hanging="0"/>
        <w:jc w:val="both"/>
        <w:rPr>
          <w:rFonts w:cs="Times New Roman"/>
          <w:sz w:val="22"/>
          <w:szCs w:val="22"/>
        </w:rPr>
      </w:pPr>
      <w:r>
        <w:rPr>
          <w:rStyle w:val="Domylnaczcionkaakapitu"/>
          <w:rFonts w:cs="Times New Roman" w:ascii="Calibri" w:hAnsi="Calibri"/>
          <w:b w:val="false"/>
          <w:bCs w:val="false"/>
          <w:i w:val="false"/>
          <w:iCs w:val="false"/>
          <w:color w:val="000000"/>
          <w:sz w:val="22"/>
          <w:szCs w:val="22"/>
          <w:u w:val="none"/>
        </w:rPr>
        <w:t xml:space="preserve">           </w:t>
      </w:r>
      <w:r>
        <w:rPr>
          <w:rStyle w:val="Domylnaczcionkaakapitu"/>
          <w:rFonts w:cs="Times New Roman" w:ascii="Calibri" w:hAnsi="Calibri"/>
          <w:b w:val="false"/>
          <w:bCs w:val="false"/>
          <w:i w:val="false"/>
          <w:iCs w:val="false"/>
          <w:color w:val="000000"/>
          <w:sz w:val="22"/>
          <w:szCs w:val="22"/>
          <w:u w:val="none"/>
        </w:rPr>
        <w:t xml:space="preserve">dnia  </w:t>
      </w:r>
      <w:r>
        <w:rPr>
          <w:rStyle w:val="Domylnaczcionkaakapitu"/>
          <w:rFonts w:cs="Times New Roman" w:ascii="Calibri" w:hAnsi="Calibri"/>
          <w:b w:val="false"/>
          <w:bCs w:val="false"/>
          <w:i w:val="false"/>
          <w:iCs w:val="false"/>
          <w:color w:val="000000"/>
          <w:sz w:val="22"/>
          <w:szCs w:val="22"/>
          <w:u w:val="none"/>
        </w:rPr>
        <w:t>z</w:t>
      </w:r>
      <w:r>
        <w:rPr>
          <w:rStyle w:val="Domylnaczcionkaakapitu"/>
          <w:rFonts w:cs="Times New Roman" w:ascii="Calibri" w:hAnsi="Calibri"/>
          <w:b w:val="false"/>
          <w:bCs w:val="false"/>
          <w:i w:val="false"/>
          <w:iCs w:val="false"/>
          <w:color w:val="000000"/>
          <w:sz w:val="22"/>
          <w:szCs w:val="22"/>
          <w:u w:val="none"/>
        </w:rPr>
        <w:t xml:space="preserve">awarcia umowy o dofinansowanie do upływu 12 miesięcy prowadzenia działalności    </w:t>
      </w:r>
    </w:p>
    <w:p>
      <w:pPr>
        <w:pStyle w:val="Normal"/>
        <w:widowControl/>
        <w:numPr>
          <w:ilvl w:val="0"/>
          <w:numId w:val="0"/>
        </w:numPr>
        <w:tabs>
          <w:tab w:val="clear" w:pos="709"/>
          <w:tab w:val="left" w:pos="438" w:leader="none"/>
        </w:tabs>
        <w:bidi w:val="0"/>
        <w:spacing w:lineRule="atLeast" w:line="100" w:before="0" w:after="0"/>
        <w:ind w:left="720" w:right="0" w:hanging="0"/>
        <w:jc w:val="both"/>
        <w:rPr>
          <w:rFonts w:cs="Times New Roman"/>
          <w:sz w:val="22"/>
          <w:szCs w:val="22"/>
        </w:rPr>
      </w:pPr>
      <w:r>
        <w:rPr>
          <w:rStyle w:val="Domylnaczcionkaakapitu"/>
          <w:rFonts w:cs="Times New Roman" w:ascii="Calibri" w:hAnsi="Calibri"/>
          <w:b w:val="false"/>
          <w:bCs w:val="false"/>
          <w:i w:val="false"/>
          <w:iCs w:val="false"/>
          <w:color w:val="000000"/>
          <w:sz w:val="22"/>
          <w:szCs w:val="22"/>
          <w:u w:val="none"/>
        </w:rPr>
        <w:t xml:space="preserve">           </w:t>
      </w:r>
      <w:r>
        <w:rPr>
          <w:rStyle w:val="Domylnaczcionkaakapitu"/>
          <w:rFonts w:cs="Times New Roman" w:ascii="Calibri" w:hAnsi="Calibri"/>
          <w:b w:val="false"/>
          <w:bCs w:val="false"/>
          <w:i w:val="false"/>
          <w:iCs w:val="false"/>
          <w:color w:val="000000"/>
          <w:sz w:val="22"/>
          <w:szCs w:val="22"/>
          <w:u w:val="none"/>
        </w:rPr>
        <w:t xml:space="preserve">gospodarczej  i nieustanowienia zarządu sukcesyjnego zwrotu wypłaconego dofinansowania dochodzi   </w:t>
      </w:r>
    </w:p>
    <w:p>
      <w:pPr>
        <w:pStyle w:val="Normal"/>
        <w:widowControl/>
        <w:numPr>
          <w:ilvl w:val="0"/>
          <w:numId w:val="0"/>
        </w:numPr>
        <w:tabs>
          <w:tab w:val="clear" w:pos="709"/>
          <w:tab w:val="left" w:pos="438" w:leader="none"/>
        </w:tabs>
        <w:bidi w:val="0"/>
        <w:spacing w:lineRule="atLeast" w:line="100" w:before="0" w:after="0"/>
        <w:ind w:left="720" w:right="0" w:hanging="0"/>
        <w:jc w:val="both"/>
        <w:rPr>
          <w:rFonts w:cs="Times New Roman"/>
          <w:sz w:val="22"/>
          <w:szCs w:val="22"/>
        </w:rPr>
      </w:pPr>
      <w:r>
        <w:rPr>
          <w:rStyle w:val="Domylnaczcionkaakapitu"/>
          <w:rFonts w:cs="Times New Roman" w:ascii="Calibri" w:hAnsi="Calibri"/>
          <w:b w:val="false"/>
          <w:bCs w:val="false"/>
          <w:i w:val="false"/>
          <w:iCs w:val="false"/>
          <w:color w:val="000000"/>
          <w:sz w:val="22"/>
          <w:szCs w:val="22"/>
          <w:u w:val="none"/>
        </w:rPr>
        <w:t xml:space="preserve">           </w:t>
      </w:r>
      <w:r>
        <w:rPr>
          <w:rStyle w:val="Domylnaczcionkaakapitu"/>
          <w:rFonts w:cs="Times New Roman" w:ascii="Calibri" w:hAnsi="Calibri"/>
          <w:b w:val="false"/>
          <w:bCs w:val="false"/>
          <w:i w:val="false"/>
          <w:iCs w:val="false"/>
          <w:color w:val="000000"/>
          <w:sz w:val="22"/>
          <w:szCs w:val="22"/>
          <w:u w:val="none"/>
        </w:rPr>
        <w:t xml:space="preserve">się w wysokości proporcjonalnej do okresu nieprowadzenia tej działalności. Od kwoty podlegającej  </w:t>
      </w:r>
    </w:p>
    <w:p>
      <w:pPr>
        <w:pStyle w:val="Normal"/>
        <w:widowControl/>
        <w:numPr>
          <w:ilvl w:val="0"/>
          <w:numId w:val="0"/>
        </w:numPr>
        <w:tabs>
          <w:tab w:val="clear" w:pos="709"/>
          <w:tab w:val="left" w:pos="438" w:leader="none"/>
        </w:tabs>
        <w:bidi w:val="0"/>
        <w:spacing w:lineRule="atLeast" w:line="100" w:before="0" w:after="0"/>
        <w:ind w:left="720" w:right="0" w:hanging="0"/>
        <w:jc w:val="both"/>
        <w:rPr>
          <w:rFonts w:cs="Times New Roman"/>
          <w:sz w:val="22"/>
          <w:szCs w:val="22"/>
        </w:rPr>
      </w:pPr>
      <w:r>
        <w:rPr>
          <w:rStyle w:val="Domylnaczcionkaakapitu"/>
          <w:rFonts w:cs="Times New Roman" w:ascii="Calibri" w:hAnsi="Calibri"/>
          <w:b w:val="false"/>
          <w:bCs w:val="false"/>
          <w:i w:val="false"/>
          <w:iCs w:val="false"/>
          <w:color w:val="000000"/>
          <w:sz w:val="22"/>
          <w:szCs w:val="22"/>
          <w:u w:val="none"/>
        </w:rPr>
        <w:t xml:space="preserve">           </w:t>
      </w:r>
      <w:r>
        <w:rPr>
          <w:rStyle w:val="Domylnaczcionkaakapitu"/>
          <w:rFonts w:cs="Times New Roman" w:ascii="Calibri" w:hAnsi="Calibri"/>
          <w:b w:val="false"/>
          <w:bCs w:val="false"/>
          <w:i w:val="false"/>
          <w:iCs w:val="false"/>
          <w:color w:val="000000"/>
          <w:sz w:val="22"/>
          <w:szCs w:val="22"/>
          <w:u w:val="none"/>
        </w:rPr>
        <w:t>zwrotowi nie nalicza się odsetek ustawowych.</w:t>
      </w:r>
    </w:p>
    <w:p>
      <w:pPr>
        <w:pStyle w:val="Normal"/>
        <w:spacing w:lineRule="atLeast" w:line="100"/>
        <w:ind w:left="426" w:right="0" w:hanging="426"/>
        <w:jc w:val="both"/>
        <w:rPr>
          <w:rFonts w:ascii="Calibri" w:hAnsi="Calibri" w:cs="Times New Roman"/>
          <w:b/>
          <w:b/>
          <w:bCs/>
          <w:sz w:val="22"/>
          <w:szCs w:val="22"/>
        </w:rPr>
      </w:pPr>
      <w:r>
        <w:rPr>
          <w:rFonts w:cs="Times New Roman" w:ascii="Calibri" w:hAnsi="Calibri"/>
          <w:b/>
          <w:bCs/>
          <w:sz w:val="22"/>
          <w:szCs w:val="22"/>
        </w:rPr>
      </w:r>
    </w:p>
    <w:p>
      <w:pPr>
        <w:pStyle w:val="Normal"/>
        <w:widowControl/>
        <w:numPr>
          <w:ilvl w:val="0"/>
          <w:numId w:val="0"/>
        </w:numPr>
        <w:bidi w:val="0"/>
        <w:spacing w:lineRule="atLeast" w:line="100"/>
        <w:ind w:left="1326" w:right="0" w:hanging="0"/>
        <w:jc w:val="both"/>
        <w:rPr>
          <w:rFonts w:ascii="Calibri" w:hAnsi="Calibri" w:cs="Times New Roman"/>
          <w:sz w:val="22"/>
          <w:szCs w:val="22"/>
        </w:rPr>
      </w:pPr>
      <w:r>
        <w:rPr>
          <w:rFonts w:cs="Times New Roman" w:ascii="Calibri" w:hAnsi="Calibri"/>
          <w:b/>
          <w:bCs/>
          <w:sz w:val="22"/>
          <w:szCs w:val="22"/>
        </w:rPr>
        <w:t>19</w:t>
      </w:r>
      <w:r>
        <w:rPr>
          <w:rFonts w:cs="Times New Roman" w:ascii="Calibri" w:hAnsi="Calibri"/>
          <w:sz w:val="22"/>
          <w:szCs w:val="22"/>
        </w:rPr>
        <w:t>.P</w:t>
      </w:r>
      <w:r>
        <w:rPr>
          <w:rFonts w:cs="Times New Roman" w:ascii="Calibri" w:hAnsi="Calibri"/>
          <w:sz w:val="22"/>
          <w:szCs w:val="22"/>
        </w:rPr>
        <w:t xml:space="preserve">rzez cały okres trwania umowy Grodzki Urząd Pracy w Krakowie zastrzega sobie ocenę przebiegu     </w:t>
      </w:r>
    </w:p>
    <w:p>
      <w:pPr>
        <w:pStyle w:val="Normal"/>
        <w:numPr>
          <w:ilvl w:val="0"/>
          <w:numId w:val="0"/>
        </w:numPr>
        <w:spacing w:lineRule="atLeast" w:line="100"/>
        <w:ind w:left="1440" w:right="0" w:hanging="0"/>
        <w:jc w:val="both"/>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jej realizacji w formie prowadzenia czynności sprawdzających i monitoringu.</w:t>
      </w:r>
    </w:p>
    <w:p>
      <w:pPr>
        <w:pStyle w:val="Normal"/>
        <w:spacing w:lineRule="atLeast" w:line="100"/>
        <w:ind w:left="426" w:right="0" w:hanging="0"/>
        <w:jc w:val="both"/>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 xml:space="preserve">Czynności monitorujące prowadzone są w miejscu wskazanym przez przedsiębiorcę jako adres stałego   </w:t>
      </w:r>
    </w:p>
    <w:p>
      <w:pPr>
        <w:pStyle w:val="Normal"/>
        <w:spacing w:lineRule="atLeast" w:line="100"/>
        <w:ind w:left="0" w:right="0" w:hanging="0"/>
        <w:jc w:val="both"/>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 xml:space="preserve">miejsca wykonywania działalności (siedziby) lub w przypadku braku stałego miejsca – we wskazanym  </w:t>
      </w:r>
    </w:p>
    <w:p>
      <w:pPr>
        <w:pStyle w:val="Normal"/>
        <w:spacing w:lineRule="atLeast" w:line="100"/>
        <w:ind w:left="0" w:right="0" w:hanging="0"/>
        <w:jc w:val="both"/>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 xml:space="preserve">lokalu, do którego przedsiębiorca posiada tytuł prawny i w którym możliwe będzie dokonanie oceny </w:t>
      </w:r>
    </w:p>
    <w:p>
      <w:pPr>
        <w:pStyle w:val="Normal"/>
        <w:spacing w:lineRule="atLeast" w:line="100"/>
        <w:ind w:left="0" w:right="0" w:hanging="0"/>
        <w:jc w:val="both"/>
        <w:rPr>
          <w:rFonts w:ascii="Calibri" w:hAnsi="Calibri" w:cs="Times New Roman"/>
          <w:sz w:val="22"/>
          <w:szCs w:val="22"/>
        </w:rPr>
      </w:pPr>
      <w:r>
        <w:rPr>
          <w:rFonts w:cs="Times New Roman" w:ascii="Calibri" w:hAnsi="Calibri"/>
          <w:sz w:val="22"/>
          <w:szCs w:val="22"/>
        </w:rPr>
        <w:t xml:space="preserve">            </w:t>
      </w:r>
      <w:r>
        <w:rPr>
          <w:rFonts w:cs="Times New Roman" w:ascii="Calibri" w:hAnsi="Calibri"/>
          <w:sz w:val="22"/>
          <w:szCs w:val="22"/>
        </w:rPr>
        <w:t>prawidłowości realizacji warunków umowy.</w:t>
      </w:r>
    </w:p>
    <w:p>
      <w:pPr>
        <w:pStyle w:val="Normal"/>
        <w:spacing w:lineRule="atLeast" w:line="100"/>
        <w:ind w:left="426" w:right="0" w:hanging="426"/>
        <w:jc w:val="both"/>
        <w:rPr>
          <w:rFonts w:ascii="Calibri" w:hAnsi="Calibri" w:cs="Times New Roman"/>
          <w:sz w:val="22"/>
          <w:szCs w:val="22"/>
        </w:rPr>
      </w:pPr>
      <w:r>
        <w:rPr>
          <w:rFonts w:cs="Times New Roman" w:ascii="Calibri" w:hAnsi="Calibri"/>
          <w:sz w:val="22"/>
          <w:szCs w:val="22"/>
        </w:rPr>
        <w:t xml:space="preserve"> </w:t>
      </w:r>
    </w:p>
    <w:p>
      <w:pPr>
        <w:pStyle w:val="Normal"/>
        <w:numPr>
          <w:ilvl w:val="0"/>
          <w:numId w:val="0"/>
        </w:numPr>
        <w:spacing w:lineRule="atLeast" w:line="100"/>
        <w:ind w:left="1440" w:right="0" w:hanging="0"/>
        <w:jc w:val="both"/>
        <w:rPr>
          <w:rFonts w:ascii="Calibri" w:hAnsi="Calibri" w:cs="Times New Roman"/>
          <w:sz w:val="22"/>
          <w:szCs w:val="22"/>
          <w:u w:val="single"/>
        </w:rPr>
      </w:pPr>
      <w:r>
        <w:rPr>
          <w:rFonts w:cs="Times New Roman" w:ascii="Calibri" w:hAnsi="Calibri"/>
          <w:b/>
          <w:bCs/>
          <w:sz w:val="22"/>
          <w:szCs w:val="22"/>
          <w:u w:val="single"/>
        </w:rPr>
        <w:t>20</w:t>
      </w:r>
      <w:r>
        <w:rPr>
          <w:rFonts w:cs="Times New Roman" w:ascii="Calibri" w:hAnsi="Calibri"/>
          <w:sz w:val="22"/>
          <w:szCs w:val="22"/>
          <w:u w:val="single"/>
        </w:rPr>
        <w:t xml:space="preserve">. </w:t>
      </w:r>
      <w:r>
        <w:rPr>
          <w:rFonts w:cs="Times New Roman" w:ascii="Calibri" w:hAnsi="Calibri"/>
          <w:sz w:val="22"/>
          <w:szCs w:val="22"/>
          <w:u w:val="single"/>
        </w:rPr>
        <w:t>Ostateczne rozliczenie wykonania umowy nastąpi po osobistym odebraniu pisma z Urzędu uznającego wywiązanie się z warunk</w:t>
      </w:r>
      <w:r>
        <w:rPr>
          <w:rFonts w:cs="Times New Roman" w:ascii="Calibri" w:hAnsi="Calibri"/>
          <w:sz w:val="22"/>
          <w:szCs w:val="22"/>
          <w:u w:val="single"/>
        </w:rPr>
        <w:t>ów umowy.</w:t>
      </w:r>
      <w:r>
        <w:rPr>
          <w:rFonts w:cs="Times New Roman" w:ascii="Calibri" w:hAnsi="Calibri"/>
          <w:sz w:val="22"/>
          <w:szCs w:val="22"/>
          <w:u w:val="single"/>
        </w:rPr>
        <w:t xml:space="preserve"> </w:t>
      </w:r>
    </w:p>
    <w:p>
      <w:pPr>
        <w:pStyle w:val="Normal"/>
        <w:numPr>
          <w:ilvl w:val="0"/>
          <w:numId w:val="0"/>
        </w:numPr>
        <w:spacing w:lineRule="atLeast" w:line="100"/>
        <w:ind w:left="1440" w:right="0" w:hanging="0"/>
        <w:jc w:val="both"/>
        <w:rPr>
          <w:rFonts w:ascii="Calibri" w:hAnsi="Calibri" w:cs="Times New Roman"/>
          <w:sz w:val="22"/>
          <w:szCs w:val="22"/>
          <w:u w:val="single"/>
        </w:rPr>
      </w:pPr>
      <w:r>
        <w:rPr>
          <w:rFonts w:cs="Times New Roman" w:ascii="Calibri" w:hAnsi="Calibri"/>
          <w:sz w:val="22"/>
          <w:szCs w:val="22"/>
          <w:u w:val="single"/>
        </w:rPr>
      </w:r>
    </w:p>
    <w:p>
      <w:pPr>
        <w:pStyle w:val="Normal"/>
        <w:numPr>
          <w:ilvl w:val="0"/>
          <w:numId w:val="0"/>
        </w:numPr>
        <w:spacing w:lineRule="atLeast" w:line="100"/>
        <w:ind w:left="1440" w:right="0" w:hanging="0"/>
        <w:jc w:val="both"/>
        <w:rPr>
          <w:rFonts w:ascii="Calibri" w:hAnsi="Calibri" w:cs="Times New Roman"/>
          <w:sz w:val="22"/>
          <w:szCs w:val="22"/>
        </w:rPr>
      </w:pPr>
      <w:r>
        <w:rPr>
          <w:rFonts w:cs="Times New Roman" w:ascii="Calibri" w:hAnsi="Calibri"/>
          <w:b/>
          <w:bCs/>
          <w:sz w:val="22"/>
          <w:szCs w:val="22"/>
        </w:rPr>
        <w:t>21</w:t>
      </w:r>
      <w:r>
        <w:rPr>
          <w:rFonts w:cs="Times New Roman" w:ascii="Calibri" w:hAnsi="Calibri"/>
          <w:sz w:val="22"/>
          <w:szCs w:val="22"/>
        </w:rPr>
        <w:t xml:space="preserve">. </w:t>
      </w:r>
      <w:r>
        <w:rPr>
          <w:rFonts w:cs="Times New Roman" w:ascii="Calibri" w:hAnsi="Calibri"/>
          <w:sz w:val="22"/>
          <w:szCs w:val="22"/>
        </w:rPr>
        <w:t xml:space="preserve">Zasady pomocy de minimis reguluje Rozporządzenie Komisji (UE) nr 1407/2013 z dnia 18 grudnia      2013 r. w sprawie stosowania art. 107 i 108 Traktatu o funkcjonowaniu Unii Europejskiej do pomocy de minimis (Dz. Urz. UE L 352 z 24.12.2013, str. 1 </w:t>
      </w:r>
      <w:r>
        <w:rPr>
          <w:rFonts w:cs="Times New Roman" w:ascii="Calibri" w:hAnsi="Calibri"/>
          <w:sz w:val="22"/>
          <w:szCs w:val="22"/>
        </w:rPr>
        <w:t>ze zmianami</w:t>
      </w:r>
      <w:r>
        <w:rPr>
          <w:rFonts w:cs="Times New Roman" w:ascii="Calibri" w:hAnsi="Calibri"/>
          <w:sz w:val="22"/>
          <w:szCs w:val="22"/>
        </w:rPr>
        <w:t>).</w:t>
      </w:r>
    </w:p>
    <w:p>
      <w:pPr>
        <w:pStyle w:val="Normal"/>
        <w:spacing w:lineRule="atLeast" w:line="100"/>
        <w:ind w:left="426" w:right="0" w:hanging="426"/>
        <w:jc w:val="both"/>
        <w:rPr>
          <w:rFonts w:ascii="Calibri" w:hAnsi="Calibri" w:cs="Times New Roman"/>
          <w:sz w:val="22"/>
          <w:szCs w:val="22"/>
        </w:rPr>
      </w:pPr>
      <w:r>
        <w:rPr>
          <w:rFonts w:cs="Times New Roman" w:ascii="Calibri" w:hAnsi="Calibri"/>
          <w:b w:val="false"/>
          <w:bCs w:val="false"/>
          <w:sz w:val="22"/>
          <w:szCs w:val="22"/>
        </w:rPr>
        <w:t xml:space="preserve">         </w:t>
      </w:r>
      <w:r>
        <w:rPr>
          <w:rFonts w:cs="Times New Roman" w:ascii="Calibri" w:hAnsi="Calibri"/>
          <w:b/>
          <w:bCs/>
          <w:sz w:val="22"/>
          <w:szCs w:val="22"/>
        </w:rPr>
        <w:t>22</w:t>
      </w:r>
      <w:r>
        <w:rPr>
          <w:rFonts w:cs="Times New Roman" w:ascii="Calibri" w:hAnsi="Calibri"/>
          <w:b w:val="false"/>
          <w:bCs w:val="false"/>
          <w:sz w:val="22"/>
          <w:szCs w:val="22"/>
        </w:rPr>
        <w:t>. Zasady obowiązują od 2</w:t>
      </w:r>
      <w:r>
        <w:rPr>
          <w:rFonts w:cs="Times New Roman" w:ascii="Calibri" w:hAnsi="Calibri"/>
          <w:b w:val="false"/>
          <w:bCs w:val="false"/>
          <w:sz w:val="22"/>
          <w:szCs w:val="22"/>
        </w:rPr>
        <w:t>3</w:t>
      </w:r>
      <w:r>
        <w:rPr>
          <w:rFonts w:cs="Times New Roman" w:ascii="Calibri" w:hAnsi="Calibri"/>
          <w:b w:val="false"/>
          <w:bCs w:val="false"/>
          <w:sz w:val="22"/>
          <w:szCs w:val="22"/>
        </w:rPr>
        <w:t>.0</w:t>
      </w:r>
      <w:r>
        <w:rPr>
          <w:rFonts w:cs="Times New Roman" w:ascii="Calibri" w:hAnsi="Calibri"/>
          <w:b w:val="false"/>
          <w:bCs w:val="false"/>
          <w:sz w:val="22"/>
          <w:szCs w:val="22"/>
        </w:rPr>
        <w:t>8</w:t>
      </w:r>
      <w:r>
        <w:rPr>
          <w:rFonts w:cs="Times New Roman" w:ascii="Calibri" w:hAnsi="Calibri"/>
          <w:b w:val="false"/>
          <w:bCs w:val="false"/>
          <w:sz w:val="22"/>
          <w:szCs w:val="22"/>
        </w:rPr>
        <w:t xml:space="preserve">.2021 r. </w:t>
      </w:r>
    </w:p>
    <w:p>
      <w:pPr>
        <w:pStyle w:val="Normal"/>
        <w:spacing w:lineRule="atLeast" w:line="100"/>
        <w:jc w:val="both"/>
        <w:rPr>
          <w:rFonts w:ascii="Calibri" w:hAnsi="Calibri" w:cs="Times New Roman"/>
          <w:i/>
          <w:i/>
          <w:sz w:val="22"/>
          <w:szCs w:val="22"/>
        </w:rPr>
      </w:pPr>
      <w:r>
        <w:rPr>
          <w:rFonts w:cs="Times New Roman" w:ascii="Calibri" w:hAnsi="Calibri"/>
          <w:i/>
          <w:sz w:val="22"/>
          <w:szCs w:val="22"/>
        </w:rPr>
      </w:r>
    </w:p>
    <w:p>
      <w:pPr>
        <w:pStyle w:val="Normal"/>
        <w:spacing w:lineRule="atLeast" w:line="100"/>
        <w:jc w:val="both"/>
        <w:rPr>
          <w:rFonts w:ascii="Calibri" w:hAnsi="Calibri" w:cs="Times New Roman"/>
          <w:i/>
          <w:i/>
          <w:sz w:val="22"/>
          <w:szCs w:val="22"/>
        </w:rPr>
      </w:pPr>
      <w:r>
        <w:rPr>
          <w:rFonts w:cs="Times New Roman" w:ascii="Calibri" w:hAnsi="Calibri"/>
          <w:i/>
          <w:sz w:val="22"/>
          <w:szCs w:val="22"/>
        </w:rPr>
      </w:r>
    </w:p>
    <w:p>
      <w:pPr>
        <w:pStyle w:val="Normal"/>
        <w:spacing w:lineRule="atLeast" w:line="100"/>
        <w:jc w:val="both"/>
        <w:rPr>
          <w:rFonts w:ascii="Calibri" w:hAnsi="Calibri" w:cs="Times New Roman"/>
          <w:i/>
          <w:i/>
          <w:sz w:val="22"/>
          <w:szCs w:val="22"/>
        </w:rPr>
      </w:pPr>
      <w:r>
        <w:rPr>
          <w:rFonts w:cs="Times New Roman" w:ascii="Calibri" w:hAnsi="Calibri"/>
          <w:i/>
          <w:sz w:val="22"/>
          <w:szCs w:val="22"/>
        </w:rPr>
        <w:t>Podstawa prawna:</w:t>
      </w:r>
    </w:p>
    <w:p>
      <w:pPr>
        <w:pStyle w:val="ListParagraph"/>
        <w:numPr>
          <w:ilvl w:val="0"/>
          <w:numId w:val="17"/>
        </w:numPr>
        <w:spacing w:lineRule="atLeast" w:line="100"/>
        <w:jc w:val="both"/>
        <w:rPr>
          <w:rFonts w:ascii="Calibri" w:hAnsi="Calibri" w:cs="Times New Roman"/>
          <w:i/>
          <w:i/>
          <w:sz w:val="22"/>
          <w:szCs w:val="22"/>
        </w:rPr>
      </w:pPr>
      <w:r>
        <w:rPr>
          <w:rFonts w:cs="Times New Roman" w:ascii="Calibri" w:hAnsi="Calibri"/>
          <w:i/>
          <w:sz w:val="22"/>
          <w:szCs w:val="22"/>
        </w:rPr>
        <w:t>Art. 46 ust. 1 pkt 2, ust. 1b, ust. 2a ustawy z dnia 20 kwietnia 2004 r. o promocji zatrudnienia             i instytucjach rynku pracy (tekst jednolity: Dz. U. z 20</w:t>
      </w:r>
      <w:r>
        <w:rPr>
          <w:rFonts w:cs="Times New Roman" w:ascii="Calibri" w:hAnsi="Calibri"/>
          <w:i/>
          <w:sz w:val="22"/>
          <w:szCs w:val="22"/>
        </w:rPr>
        <w:t>21</w:t>
      </w:r>
      <w:r>
        <w:rPr>
          <w:rFonts w:cs="Times New Roman" w:ascii="Calibri" w:hAnsi="Calibri"/>
          <w:i/>
          <w:sz w:val="22"/>
          <w:szCs w:val="22"/>
        </w:rPr>
        <w:t xml:space="preserve"> r., poz.  1</w:t>
      </w:r>
      <w:r>
        <w:rPr>
          <w:rFonts w:cs="Times New Roman" w:ascii="Calibri" w:hAnsi="Calibri"/>
          <w:i/>
          <w:sz w:val="22"/>
          <w:szCs w:val="22"/>
        </w:rPr>
        <w:t>100</w:t>
      </w:r>
      <w:r>
        <w:rPr>
          <w:rFonts w:cs="Times New Roman" w:ascii="Calibri" w:hAnsi="Calibri"/>
          <w:i/>
          <w:sz w:val="22"/>
          <w:szCs w:val="22"/>
        </w:rPr>
        <w:t xml:space="preserve">  z późn. zm.),</w:t>
      </w:r>
    </w:p>
    <w:p>
      <w:pPr>
        <w:pStyle w:val="ListParagraph"/>
        <w:numPr>
          <w:ilvl w:val="0"/>
          <w:numId w:val="17"/>
        </w:numPr>
        <w:spacing w:lineRule="atLeast" w:line="100"/>
        <w:jc w:val="both"/>
        <w:rPr>
          <w:rFonts w:ascii="Calibri" w:hAnsi="Calibri" w:cs="Times New Roman"/>
          <w:i/>
          <w:i/>
          <w:sz w:val="22"/>
          <w:szCs w:val="22"/>
        </w:rPr>
      </w:pPr>
      <w:r>
        <w:rPr>
          <w:rFonts w:cs="Times New Roman" w:ascii="Calibri" w:hAnsi="Calibri"/>
          <w:i/>
          <w:sz w:val="22"/>
          <w:szCs w:val="22"/>
        </w:rP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(Dz. U. z 2017 r., poz. 1380 </w:t>
      </w:r>
      <w:r>
        <w:rPr>
          <w:rFonts w:cs="Times New Roman" w:ascii="Calibri" w:hAnsi="Calibri"/>
          <w:i/>
          <w:sz w:val="22"/>
          <w:szCs w:val="22"/>
        </w:rPr>
        <w:t>z późn. zmianami</w:t>
      </w:r>
      <w:r>
        <w:rPr>
          <w:rFonts w:cs="Times New Roman" w:ascii="Calibri" w:hAnsi="Calibri"/>
          <w:i/>
          <w:sz w:val="22"/>
          <w:szCs w:val="22"/>
        </w:rPr>
        <w:t>),</w:t>
      </w:r>
    </w:p>
    <w:p>
      <w:pPr>
        <w:pStyle w:val="ListParagraph"/>
        <w:numPr>
          <w:ilvl w:val="0"/>
          <w:numId w:val="17"/>
        </w:numPr>
        <w:spacing w:lineRule="atLeast" w:line="100"/>
        <w:jc w:val="both"/>
        <w:rPr>
          <w:rFonts w:ascii="Calibri" w:hAnsi="Calibri" w:cs="Times New Roman"/>
          <w:i/>
          <w:i/>
          <w:sz w:val="22"/>
          <w:szCs w:val="22"/>
        </w:rPr>
      </w:pPr>
      <w:r>
        <w:rPr>
          <w:rFonts w:cs="Times New Roman" w:ascii="Calibri" w:hAnsi="Calibri"/>
          <w:i/>
          <w:sz w:val="22"/>
          <w:szCs w:val="22"/>
        </w:rPr>
        <w:t>Ustawa z dnia 30 kwietnia 2004 r. o postępowaniu w sprawach dotyczących pomocy publicznej (tekst jednolity: Dz. U. z 20</w:t>
      </w:r>
      <w:r>
        <w:rPr>
          <w:rFonts w:cs="Times New Roman" w:ascii="Calibri" w:hAnsi="Calibri"/>
          <w:i/>
          <w:sz w:val="22"/>
          <w:szCs w:val="22"/>
        </w:rPr>
        <w:t>21</w:t>
      </w:r>
      <w:r>
        <w:rPr>
          <w:rFonts w:cs="Times New Roman" w:ascii="Calibri" w:hAnsi="Calibri"/>
          <w:i/>
          <w:sz w:val="22"/>
          <w:szCs w:val="22"/>
        </w:rPr>
        <w:t xml:space="preserve"> r., poz.</w:t>
      </w:r>
      <w:r>
        <w:rPr>
          <w:rFonts w:cs="Times New Roman" w:ascii="Calibri" w:hAnsi="Calibri"/>
          <w:i/>
          <w:sz w:val="22"/>
          <w:szCs w:val="22"/>
        </w:rPr>
        <w:t xml:space="preserve">743 </w:t>
      </w:r>
      <w:r>
        <w:rPr>
          <w:rFonts w:cs="Times New Roman" w:ascii="Calibri" w:hAnsi="Calibri"/>
          <w:i/>
          <w:sz w:val="22"/>
          <w:szCs w:val="22"/>
        </w:rPr>
        <w:t>),</w:t>
      </w:r>
    </w:p>
    <w:p>
      <w:pPr>
        <w:pStyle w:val="ListParagraph"/>
        <w:numPr>
          <w:ilvl w:val="0"/>
          <w:numId w:val="17"/>
        </w:numPr>
        <w:spacing w:lineRule="atLeast" w:line="100"/>
        <w:jc w:val="both"/>
        <w:rPr>
          <w:rFonts w:ascii="Calibri" w:hAnsi="Calibri" w:cs="Times New Roman"/>
          <w:i/>
          <w:i/>
          <w:sz w:val="22"/>
          <w:szCs w:val="22"/>
        </w:rPr>
      </w:pPr>
      <w:r>
        <w:rPr>
          <w:rFonts w:cs="Times New Roman" w:ascii="Calibri" w:hAnsi="Calibri"/>
          <w:i/>
          <w:sz w:val="22"/>
          <w:szCs w:val="22"/>
        </w:rPr>
        <w:t>Ustawa z dnia 6 marca 2018 r. Prawo przedsiębiorców (t. j. Dz. U. z 20</w:t>
      </w:r>
      <w:r>
        <w:rPr>
          <w:rFonts w:cs="Times New Roman" w:ascii="Calibri" w:hAnsi="Calibri"/>
          <w:i/>
          <w:sz w:val="22"/>
          <w:szCs w:val="22"/>
        </w:rPr>
        <w:t>21</w:t>
      </w:r>
      <w:r>
        <w:rPr>
          <w:rFonts w:cs="Times New Roman" w:ascii="Calibri" w:hAnsi="Calibri"/>
          <w:i/>
          <w:sz w:val="22"/>
          <w:szCs w:val="22"/>
        </w:rPr>
        <w:t xml:space="preserve"> r., poz.1</w:t>
      </w:r>
      <w:r>
        <w:rPr>
          <w:rFonts w:cs="Times New Roman" w:ascii="Calibri" w:hAnsi="Calibri"/>
          <w:i/>
          <w:sz w:val="22"/>
          <w:szCs w:val="22"/>
        </w:rPr>
        <w:t>62</w:t>
      </w:r>
      <w:r>
        <w:rPr>
          <w:rFonts w:cs="Times New Roman" w:ascii="Calibri" w:hAnsi="Calibri"/>
          <w:i/>
          <w:sz w:val="22"/>
          <w:szCs w:val="22"/>
        </w:rPr>
        <w:t>),</w:t>
      </w:r>
    </w:p>
    <w:p>
      <w:pPr>
        <w:pStyle w:val="Normal"/>
        <w:numPr>
          <w:ilvl w:val="0"/>
          <w:numId w:val="17"/>
        </w:numPr>
        <w:spacing w:lineRule="atLeast" w:line="100"/>
        <w:jc w:val="both"/>
        <w:rPr>
          <w:rFonts w:ascii="Calibri" w:hAnsi="Calibri" w:cs="Times New Roman"/>
          <w:i/>
          <w:i/>
          <w:sz w:val="22"/>
          <w:szCs w:val="22"/>
        </w:rPr>
      </w:pPr>
      <w:r>
        <w:rPr>
          <w:rFonts w:cs="Times New Roman" w:ascii="Calibri" w:hAnsi="Calibri"/>
          <w:i/>
          <w:sz w:val="22"/>
          <w:szCs w:val="22"/>
        </w:rPr>
        <w:t xml:space="preserve">Rozporządzenie Komisji (UE) nr 1407/2013 z dnia 18 grudnia 2013 r. w sprawie stosowania art. 107 i 108 Traktatu o funkcjonowaniu Unii Europejskiej do pomocy de minimis (Dz. Urz. UE L 352 z 24.12.2013, str. 1 </w:t>
      </w:r>
      <w:r>
        <w:rPr>
          <w:rFonts w:cs="Times New Roman" w:ascii="Calibri" w:hAnsi="Calibri"/>
          <w:i/>
          <w:sz w:val="22"/>
          <w:szCs w:val="22"/>
        </w:rPr>
        <w:t>ze zmianami</w:t>
      </w:r>
      <w:r>
        <w:rPr>
          <w:rFonts w:cs="Times New Roman" w:ascii="Calibri" w:hAnsi="Calibri"/>
          <w:i/>
          <w:sz w:val="22"/>
          <w:szCs w:val="22"/>
        </w:rPr>
        <w:t>),</w:t>
      </w:r>
    </w:p>
    <w:p>
      <w:pPr>
        <w:pStyle w:val="ListParagraph"/>
        <w:numPr>
          <w:ilvl w:val="0"/>
          <w:numId w:val="17"/>
        </w:numPr>
        <w:spacing w:lineRule="atLeast" w:line="100"/>
        <w:jc w:val="both"/>
        <w:rPr>
          <w:rFonts w:ascii="Calibri" w:hAnsi="Calibri" w:cs="Times New Roman"/>
          <w:i/>
          <w:i/>
          <w:sz w:val="22"/>
          <w:szCs w:val="22"/>
        </w:rPr>
      </w:pPr>
      <w:r>
        <w:rPr>
          <w:rFonts w:cs="Times New Roman" w:ascii="Calibri" w:hAnsi="Calibri"/>
          <w:i/>
          <w:sz w:val="22"/>
          <w:szCs w:val="22"/>
        </w:rPr>
        <w:t>Ustawa z dnia 23 kwietnia 1964 r. – Kodeks cywilny (tekst jednolity: Dz. U. z 20</w:t>
      </w:r>
      <w:r>
        <w:rPr>
          <w:rFonts w:cs="Times New Roman" w:ascii="Calibri" w:hAnsi="Calibri"/>
          <w:i/>
          <w:sz w:val="22"/>
          <w:szCs w:val="22"/>
        </w:rPr>
        <w:t>20</w:t>
      </w:r>
      <w:r>
        <w:rPr>
          <w:rFonts w:cs="Times New Roman" w:ascii="Calibri" w:hAnsi="Calibri"/>
          <w:i/>
          <w:sz w:val="22"/>
          <w:szCs w:val="22"/>
        </w:rPr>
        <w:t xml:space="preserve"> r., poz.  1</w:t>
      </w:r>
      <w:r>
        <w:rPr>
          <w:rFonts w:cs="Times New Roman" w:ascii="Calibri" w:hAnsi="Calibri"/>
          <w:i/>
          <w:sz w:val="22"/>
          <w:szCs w:val="22"/>
        </w:rPr>
        <w:t>740</w:t>
      </w:r>
      <w:r>
        <w:rPr>
          <w:rFonts w:cs="Times New Roman" w:ascii="Calibri" w:hAnsi="Calibri"/>
          <w:i/>
          <w:sz w:val="22"/>
          <w:szCs w:val="22"/>
        </w:rPr>
        <w:t xml:space="preserve"> z późn. zm.</w:t>
      </w:r>
      <w:r>
        <w:rPr>
          <w:rFonts w:cs="Times New Roman" w:ascii="Calibri" w:hAnsi="Calibri"/>
          <w:i/>
          <w:sz w:val="22"/>
          <w:szCs w:val="22"/>
        </w:rPr>
        <w:t>).</w:t>
      </w:r>
    </w:p>
    <w:p>
      <w:pPr>
        <w:pStyle w:val="ListParagraph"/>
        <w:numPr>
          <w:ilvl w:val="0"/>
          <w:numId w:val="17"/>
        </w:numPr>
        <w:tabs>
          <w:tab w:val="clear" w:pos="709"/>
          <w:tab w:val="left" w:pos="794" w:leader="none"/>
        </w:tabs>
        <w:spacing w:lineRule="atLeast" w:line="100"/>
        <w:jc w:val="both"/>
        <w:rPr>
          <w:rFonts w:ascii="Calibri" w:hAnsi="Calibri" w:cs="Times New Roman"/>
          <w:i/>
          <w:i/>
          <w:sz w:val="22"/>
          <w:szCs w:val="22"/>
        </w:rPr>
      </w:pPr>
      <w:r>
        <w:rPr>
          <w:rFonts w:cs="Times New Roman" w:ascii="Calibri" w:hAnsi="Calibri"/>
          <w:i/>
          <w:sz w:val="22"/>
          <w:szCs w:val="22"/>
        </w:rPr>
        <w:t>Ustawa z dnia 11 marca 2004 r. o podatku od towarów i usług (tekst jednolity: Dz. U. z 202</w:t>
      </w:r>
      <w:r>
        <w:rPr>
          <w:rFonts w:cs="Times New Roman" w:ascii="Calibri" w:hAnsi="Calibri"/>
          <w:i/>
          <w:sz w:val="22"/>
          <w:szCs w:val="22"/>
        </w:rPr>
        <w:t>1</w:t>
      </w:r>
      <w:r>
        <w:rPr>
          <w:rFonts w:cs="Times New Roman" w:ascii="Calibri" w:hAnsi="Calibri"/>
          <w:i/>
          <w:sz w:val="22"/>
          <w:szCs w:val="22"/>
        </w:rPr>
        <w:t xml:space="preserve"> r., poz.  </w:t>
      </w:r>
    </w:p>
    <w:p>
      <w:pPr>
        <w:pStyle w:val="ListParagraph"/>
        <w:numPr>
          <w:ilvl w:val="0"/>
          <w:numId w:val="0"/>
        </w:numPr>
        <w:tabs>
          <w:tab w:val="clear" w:pos="709"/>
          <w:tab w:val="left" w:pos="794" w:leader="none"/>
        </w:tabs>
        <w:spacing w:lineRule="atLeast" w:line="100"/>
        <w:ind w:left="1497" w:right="0" w:hanging="0"/>
        <w:jc w:val="both"/>
        <w:rPr>
          <w:rFonts w:ascii="Calibri" w:hAnsi="Calibri"/>
          <w:sz w:val="22"/>
          <w:szCs w:val="22"/>
        </w:rPr>
      </w:pPr>
      <w:r>
        <w:rPr>
          <w:rFonts w:cs="Times New Roman" w:ascii="Calibri" w:hAnsi="Calibri"/>
          <w:i/>
          <w:sz w:val="22"/>
          <w:szCs w:val="22"/>
        </w:rPr>
        <w:t>6</w:t>
      </w:r>
      <w:r>
        <w:rPr>
          <w:rFonts w:cs="Times New Roman" w:ascii="Calibri" w:hAnsi="Calibri"/>
          <w:i/>
          <w:sz w:val="22"/>
          <w:szCs w:val="22"/>
        </w:rPr>
        <w:t>85</w:t>
      </w:r>
      <w:r>
        <w:rPr>
          <w:rFonts w:cs="Times New Roman" w:ascii="Calibri" w:hAnsi="Calibri"/>
          <w:i/>
          <w:sz w:val="22"/>
          <w:szCs w:val="22"/>
        </w:rPr>
        <w:t xml:space="preserve"> </w:t>
      </w:r>
      <w:r>
        <w:rPr>
          <w:rFonts w:cs="Times New Roman" w:ascii="Calibri" w:hAnsi="Calibri"/>
          <w:i/>
          <w:sz w:val="22"/>
          <w:szCs w:val="22"/>
        </w:rPr>
        <w:t>z późn. zmianami</w:t>
      </w:r>
      <w:r>
        <w:rPr>
          <w:rFonts w:cs="Times New Roman" w:ascii="Calibri" w:hAnsi="Calibri"/>
          <w:i/>
          <w:sz w:val="22"/>
          <w:szCs w:val="22"/>
        </w:rPr>
        <w:t>)</w:t>
      </w:r>
      <w:r>
        <w:rPr>
          <w:rFonts w:cs="Times New Roman" w:ascii="Calibri" w:hAnsi="Calibri"/>
          <w:bCs/>
          <w:i/>
          <w:sz w:val="22"/>
          <w:szCs w:val="22"/>
        </w:rPr>
        <w:t>.</w:t>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u w:val="single"/>
        </w:rPr>
      </w:pPr>
      <w:r>
        <w:rPr>
          <w:rFonts w:cs="Times New Roman" w:ascii="Calibri" w:hAnsi="Calibri"/>
          <w:b/>
          <w:bCs/>
          <w:sz w:val="22"/>
          <w:szCs w:val="22"/>
          <w:u w:val="single"/>
        </w:rPr>
      </w:r>
    </w:p>
    <w:p>
      <w:pPr>
        <w:pStyle w:val="ListParagraph"/>
        <w:tabs>
          <w:tab w:val="clear" w:pos="709"/>
          <w:tab w:val="left" w:pos="397" w:leader="none"/>
        </w:tabs>
        <w:spacing w:lineRule="atLeast" w:line="100"/>
        <w:ind w:left="0" w:right="0" w:hanging="0"/>
        <w:jc w:val="both"/>
        <w:rPr>
          <w:rFonts w:ascii="Calibri" w:hAnsi="Calibri"/>
          <w:sz w:val="22"/>
          <w:szCs w:val="22"/>
        </w:rPr>
      </w:pPr>
      <w:r>
        <w:rPr>
          <w:rFonts w:cs="Times New Roman" w:ascii="Calibri" w:hAnsi="Calibri"/>
          <w:b/>
          <w:bCs/>
          <w:sz w:val="22"/>
          <w:szCs w:val="22"/>
          <w:u w:val="single"/>
        </w:rPr>
        <w:t>ZAŁĄCZNIK NR 1</w:t>
      </w:r>
      <w:r>
        <w:rPr>
          <w:rFonts w:cs="Times New Roman" w:ascii="Calibri" w:hAnsi="Calibri"/>
          <w:b/>
          <w:bCs/>
          <w:sz w:val="22"/>
          <w:szCs w:val="22"/>
        </w:rPr>
        <w:t xml:space="preserve"> </w:t>
      </w:r>
    </w:p>
    <w:p>
      <w:pPr>
        <w:pStyle w:val="ListParagraph"/>
        <w:tabs>
          <w:tab w:val="clear" w:pos="709"/>
          <w:tab w:val="left" w:pos="397" w:leader="none"/>
        </w:tabs>
        <w:spacing w:lineRule="atLeast" w:line="100"/>
        <w:ind w:left="0" w:right="0" w:hanging="0"/>
        <w:jc w:val="both"/>
        <w:rPr>
          <w:rFonts w:ascii="Calibri" w:hAnsi="Calibri" w:cs="Times New Roman"/>
          <w:b/>
          <w:b/>
          <w:bCs/>
          <w:sz w:val="22"/>
          <w:szCs w:val="22"/>
        </w:rPr>
      </w:pPr>
      <w:r>
        <w:rPr>
          <w:rFonts w:cs="Times New Roman" w:ascii="Calibri" w:hAnsi="Calibri"/>
          <w:b/>
          <w:bCs/>
          <w:sz w:val="22"/>
          <w:szCs w:val="22"/>
        </w:rPr>
      </w:r>
    </w:p>
    <w:p>
      <w:pPr>
        <w:pStyle w:val="ListParagraph"/>
        <w:tabs>
          <w:tab w:val="clear" w:pos="709"/>
          <w:tab w:val="left" w:pos="397" w:leader="none"/>
        </w:tabs>
        <w:spacing w:lineRule="atLeast" w:line="100"/>
        <w:ind w:left="0" w:right="0" w:hanging="0"/>
        <w:jc w:val="both"/>
        <w:rPr>
          <w:rFonts w:ascii="Calibri" w:hAnsi="Calibri"/>
          <w:sz w:val="22"/>
          <w:szCs w:val="22"/>
        </w:rPr>
      </w:pPr>
      <w:r>
        <w:rPr>
          <w:rFonts w:cs="Times New Roman" w:ascii="Calibri" w:hAnsi="Calibri"/>
          <w:b/>
          <w:bCs/>
          <w:sz w:val="22"/>
          <w:szCs w:val="22"/>
        </w:rPr>
        <w:t xml:space="preserve">DO </w:t>
      </w:r>
      <w:r>
        <w:rPr>
          <w:rFonts w:cs="Times New Roman" w:ascii="Calibri" w:hAnsi="Calibri"/>
          <w:b/>
          <w:bCs/>
          <w:caps/>
          <w:sz w:val="22"/>
          <w:szCs w:val="22"/>
        </w:rPr>
        <w:t>zasad dla osób bEZROBOTNYCH Zarejestrowanych w Grodzkim Urzędzie Pracy, Ubiegających się w 202</w:t>
      </w:r>
      <w:r>
        <w:rPr>
          <w:rFonts w:cs="Times New Roman" w:ascii="Calibri" w:hAnsi="Calibri"/>
          <w:b/>
          <w:bCs/>
          <w:caps/>
          <w:sz w:val="22"/>
          <w:szCs w:val="22"/>
        </w:rPr>
        <w:t>1</w:t>
      </w:r>
      <w:r>
        <w:rPr>
          <w:rFonts w:cs="Times New Roman" w:ascii="Calibri" w:hAnsi="Calibri"/>
          <w:b/>
          <w:bCs/>
          <w:caps/>
          <w:sz w:val="22"/>
          <w:szCs w:val="22"/>
        </w:rPr>
        <w:t xml:space="preserve"> r. o dofinansowanie  PODJĘCIa DZIAŁALNOŚCI</w:t>
      </w:r>
      <w:r>
        <w:rPr>
          <w:rFonts w:cs="Times New Roman" w:ascii="Calibri" w:hAnsi="Calibri"/>
          <w:b/>
          <w:bCs/>
          <w:sz w:val="22"/>
          <w:szCs w:val="22"/>
        </w:rPr>
        <w:t xml:space="preserve"> GOSPODARCZEJ .</w:t>
      </w:r>
    </w:p>
    <w:p>
      <w:pPr>
        <w:pStyle w:val="ListParagraph"/>
        <w:tabs>
          <w:tab w:val="clear" w:pos="709"/>
          <w:tab w:val="left" w:pos="397" w:leader="none"/>
        </w:tabs>
        <w:spacing w:lineRule="atLeast" w:line="100"/>
        <w:ind w:left="0" w:right="0" w:hanging="0"/>
        <w:jc w:val="both"/>
        <w:rPr>
          <w:rFonts w:ascii="Calibri" w:hAnsi="Calibri" w:cs="Times New Roman"/>
          <w:sz w:val="22"/>
          <w:szCs w:val="22"/>
        </w:rPr>
      </w:pPr>
      <w:r>
        <w:rPr>
          <w:rFonts w:cs="Times New Roman" w:ascii="Calibri" w:hAnsi="Calibri"/>
          <w:sz w:val="22"/>
          <w:szCs w:val="22"/>
        </w:rPr>
        <w:t>W celu zapewnienia dotrzymania warunków umowy o dofinansowanie i właściwego wykorzystania środków Urząd uzależnia przyznanie dofinansowania od przedstawienia przez wnioskującego odpowiedniego zabezpieczenia w następujących preferowanych formach:</w:t>
      </w:r>
    </w:p>
    <w:p>
      <w:pPr>
        <w:pStyle w:val="Normal"/>
        <w:numPr>
          <w:ilvl w:val="0"/>
          <w:numId w:val="14"/>
        </w:numPr>
        <w:ind w:left="426" w:right="0" w:hanging="426"/>
        <w:jc w:val="both"/>
        <w:rPr>
          <w:rFonts w:ascii="Calibri" w:hAnsi="Calibri"/>
          <w:sz w:val="22"/>
          <w:szCs w:val="22"/>
        </w:rPr>
      </w:pPr>
      <w:r>
        <w:rPr>
          <w:rFonts w:cs="Times New Roman" w:ascii="Calibri" w:hAnsi="Calibri"/>
          <w:b/>
          <w:bCs/>
          <w:sz w:val="22"/>
          <w:szCs w:val="22"/>
          <w:u w:val="single"/>
        </w:rPr>
        <w:t>Zabezpieczenie w formie weksla z poręczeniem wekslowym (aval)</w:t>
      </w:r>
      <w:r>
        <w:rPr>
          <w:rFonts w:cs="Times New Roman" w:ascii="Calibri" w:hAnsi="Calibri"/>
          <w:sz w:val="22"/>
          <w:szCs w:val="22"/>
        </w:rPr>
        <w:t xml:space="preserve"> winno być dokonane przez 1 osobę fizyczną posiadającą zdolność do czynności prawnych, wobec których nie toczy się żadne postępowanie egzekucyjne oraz nie są ustanowione zajęcia sądowe i administracyjne. Wskazana osoba powinna osiągać dochód w wysokości co najmniej </w:t>
      </w:r>
      <w:r>
        <w:rPr>
          <w:rFonts w:cs="Times New Roman" w:ascii="Calibri" w:hAnsi="Calibri"/>
          <w:b/>
          <w:bCs/>
          <w:sz w:val="22"/>
          <w:szCs w:val="22"/>
        </w:rPr>
        <w:t xml:space="preserve"> 2 </w:t>
      </w:r>
      <w:r>
        <w:rPr>
          <w:rFonts w:cs="Times New Roman" w:ascii="Calibri" w:hAnsi="Calibri"/>
          <w:b/>
          <w:bCs/>
          <w:sz w:val="22"/>
          <w:szCs w:val="22"/>
        </w:rPr>
        <w:t>8</w:t>
      </w:r>
      <w:r>
        <w:rPr>
          <w:rFonts w:cs="Times New Roman" w:ascii="Calibri" w:hAnsi="Calibri"/>
          <w:b/>
          <w:bCs/>
          <w:sz w:val="22"/>
          <w:szCs w:val="22"/>
        </w:rPr>
        <w:t>00,00 zł</w:t>
      </w:r>
      <w:r>
        <w:rPr>
          <w:rFonts w:cs="Times New Roman" w:ascii="Calibri" w:hAnsi="Calibri"/>
          <w:sz w:val="22"/>
          <w:szCs w:val="22"/>
        </w:rPr>
        <w:t xml:space="preserve"> brutto z tytułu: zatrudnienia, stałego dochodu z tytułu nabycia prawa do renty lub emerytury lub tytułu prowadzenia działalności gospodarczej.</w:t>
      </w:r>
    </w:p>
    <w:p>
      <w:pPr>
        <w:pStyle w:val="Normal"/>
        <w:jc w:val="both"/>
        <w:rPr>
          <w:rFonts w:ascii="Calibri" w:hAnsi="Calibri" w:cs="Times New Roman"/>
          <w:sz w:val="22"/>
          <w:szCs w:val="22"/>
        </w:rPr>
      </w:pPr>
      <w:r>
        <w:rPr>
          <w:rFonts w:cs="Times New Roman" w:ascii="Calibri" w:hAnsi="Calibri"/>
          <w:sz w:val="22"/>
          <w:szCs w:val="22"/>
        </w:rPr>
        <w:t>Dokumenty wymagane od poręczyciela, potwierdzające wysokość oraz  źródło uzyskiwanego dochodu:</w:t>
      </w:r>
    </w:p>
    <w:p>
      <w:pPr>
        <w:pStyle w:val="ListParagraph"/>
        <w:numPr>
          <w:ilvl w:val="0"/>
          <w:numId w:val="13"/>
        </w:numPr>
        <w:jc w:val="both"/>
        <w:rPr/>
      </w:pPr>
      <w:r>
        <w:rPr>
          <w:rFonts w:cs="Times New Roman" w:ascii="Calibri" w:hAnsi="Calibri"/>
          <w:sz w:val="22"/>
          <w:szCs w:val="22"/>
        </w:rPr>
        <w:t>w przypadku zatrudnienia na podstawie umowy o pracę na czas nieokreślony lub na czas określony (min.</w:t>
      </w:r>
      <w:r>
        <w:rPr>
          <w:rFonts w:cs="Times New Roman" w:ascii="Calibri" w:hAnsi="Calibri"/>
          <w:sz w:val="22"/>
          <w:szCs w:val="22"/>
        </w:rPr>
        <w:t xml:space="preserve"> </w:t>
      </w:r>
      <w:r>
        <w:rPr>
          <w:rFonts w:cs="Times New Roman" w:ascii="Calibri" w:hAnsi="Calibri"/>
          <w:color w:val="000000"/>
          <w:sz w:val="22"/>
          <w:szCs w:val="22"/>
        </w:rPr>
        <w:t>3</w:t>
      </w:r>
      <w:r>
        <w:rPr>
          <w:rFonts w:cs="Times New Roman" w:ascii="Calibri" w:hAnsi="Calibri"/>
          <w:color w:val="000000"/>
          <w:sz w:val="22"/>
          <w:szCs w:val="22"/>
        </w:rPr>
        <w:t xml:space="preserve"> lata</w:t>
      </w:r>
      <w:r>
        <w:rPr>
          <w:rFonts w:cs="Times New Roman" w:ascii="Calibri" w:hAnsi="Calibri"/>
          <w:sz w:val="22"/>
          <w:szCs w:val="22"/>
        </w:rPr>
        <w:t xml:space="preserve"> licząc od daty zawarcia umowy o dofinansowanie podjęcia działalności gospodarczej) - zaświadczenie potwierdzające okres zawarcia umowy, wysokość osiąganego wynagrodzenia w kwocie brutto z adnotacją „wynagrodzenie wolne od zajęć sądowych” oraz „zakład pracy nie znajduje się w stanie likwidacji ani upadłości” (ważne 30 dni od daty wystawienia);</w:t>
      </w:r>
    </w:p>
    <w:p>
      <w:pPr>
        <w:pStyle w:val="ListParagraph"/>
        <w:numPr>
          <w:ilvl w:val="0"/>
          <w:numId w:val="13"/>
        </w:numPr>
        <w:jc w:val="both"/>
        <w:rPr/>
      </w:pPr>
      <w:r>
        <w:rPr>
          <w:rFonts w:cs="Times New Roman" w:ascii="Calibri" w:hAnsi="Calibri"/>
          <w:sz w:val="22"/>
          <w:szCs w:val="22"/>
        </w:rPr>
        <w:t>w przypadku prowadzenia działalności gospodarczej - zaświadczenie o niezaleganiu</w:t>
        <w:br/>
        <w:t xml:space="preserve">z płatnościami wobec Zakładu Ubezpieczeń Społecznych oraz Urzędu Skarbowego (ważne 30 dni od daty wystawienia), oświadczenie o osiąganym dochodzie w wysokości brutto wypełniane                                 w obecności </w:t>
      </w:r>
      <w:r>
        <w:rPr>
          <w:rFonts w:cs="Times New Roman" w:ascii="Calibri" w:hAnsi="Calibri"/>
          <w:color w:val="auto"/>
          <w:sz w:val="22"/>
          <w:szCs w:val="22"/>
        </w:rPr>
        <w:t>notariusza</w:t>
      </w:r>
      <w:r>
        <w:rPr>
          <w:rFonts w:cs="Times New Roman" w:ascii="Calibri" w:hAnsi="Calibri"/>
          <w:sz w:val="22"/>
          <w:szCs w:val="22"/>
        </w:rPr>
        <w:t>, na szablonie GUP,</w:t>
      </w:r>
    </w:p>
    <w:p>
      <w:pPr>
        <w:pStyle w:val="ListParagraph"/>
        <w:numPr>
          <w:ilvl w:val="0"/>
          <w:numId w:val="13"/>
        </w:numPr>
        <w:jc w:val="both"/>
        <w:rPr>
          <w:rFonts w:ascii="Calibri" w:hAnsi="Calibri" w:cs="Times New Roman"/>
          <w:sz w:val="22"/>
          <w:szCs w:val="22"/>
        </w:rPr>
      </w:pPr>
      <w:r>
        <w:rPr>
          <w:rFonts w:cs="Times New Roman" w:ascii="Calibri" w:hAnsi="Calibri"/>
          <w:sz w:val="22"/>
          <w:szCs w:val="22"/>
        </w:rPr>
        <w:t>w przypadku pobierania stałego świadczenia z tytułu nabycia prawa do renty lub emerytury - zaświadczenie z Zakładu Ubezpieczeń Społecznych potwierdzające osiąganie miesięcznego dochodu w kwocie brutto (ważne 30 dni od daty wystawienia) – Możliwość uznania poręczyciela w wieku do 80 roku życia.</w:t>
      </w:r>
    </w:p>
    <w:p>
      <w:pPr>
        <w:pStyle w:val="Normal"/>
        <w:jc w:val="both"/>
        <w:rPr>
          <w:rFonts w:ascii="Calibri" w:hAnsi="Calibri" w:cs="Times New Roman"/>
          <w:sz w:val="22"/>
          <w:szCs w:val="22"/>
          <w:u w:val="single"/>
        </w:rPr>
      </w:pPr>
      <w:r>
        <w:rPr>
          <w:rFonts w:cs="Times New Roman" w:ascii="Calibri" w:hAnsi="Calibri"/>
          <w:sz w:val="22"/>
          <w:szCs w:val="22"/>
          <w:u w:val="none"/>
        </w:rPr>
        <w:t xml:space="preserve">Poręczycielem wekslowym </w:t>
      </w:r>
      <w:r>
        <w:rPr>
          <w:rFonts w:cs="Times New Roman" w:ascii="Calibri" w:hAnsi="Calibri"/>
          <w:sz w:val="22"/>
          <w:szCs w:val="22"/>
          <w:u w:val="none"/>
        </w:rPr>
        <w:t xml:space="preserve"> może być współmałżonek otrzymującego środki </w:t>
      </w:r>
      <w:r>
        <w:rPr>
          <w:rFonts w:cs="Times New Roman" w:ascii="Calibri" w:hAnsi="Calibri"/>
          <w:sz w:val="22"/>
          <w:szCs w:val="22"/>
          <w:u w:val="single"/>
        </w:rPr>
        <w:t>tylko w przypadku posiadania rozdzielności majątkowej.</w:t>
      </w:r>
    </w:p>
    <w:p>
      <w:pPr>
        <w:pStyle w:val="ListParagraph"/>
        <w:ind w:left="0" w:right="0" w:hanging="0"/>
        <w:jc w:val="both"/>
        <w:rPr/>
      </w:pPr>
      <w:r>
        <w:rPr>
          <w:rFonts w:cs="Times New Roman" w:ascii="Calibri" w:hAnsi="Calibri"/>
          <w:sz w:val="22"/>
          <w:szCs w:val="22"/>
        </w:rPr>
        <w:t xml:space="preserve">Weksel in blanco złożony na zabezpieczenie zwrotu przyznanych środków w momencie rozliczenia zostaje wydany Otrzymującemu środki, po osobistym </w:t>
      </w:r>
      <w:r>
        <w:rPr>
          <w:rFonts w:cs="Times New Roman" w:ascii="Calibri" w:hAnsi="Calibri"/>
          <w:color w:val="auto"/>
          <w:sz w:val="22"/>
          <w:szCs w:val="22"/>
        </w:rPr>
        <w:t>odebraniu pisma z Urzędu uznającego wywiązanie się z warunk</w:t>
      </w:r>
      <w:r>
        <w:rPr>
          <w:rFonts w:cs="Times New Roman" w:ascii="Calibri" w:hAnsi="Calibri"/>
          <w:color w:val="auto"/>
          <w:sz w:val="22"/>
          <w:szCs w:val="22"/>
        </w:rPr>
        <w:t>ów umowy.</w:t>
      </w:r>
      <w:r>
        <w:rPr>
          <w:rFonts w:cs="Times New Roman" w:ascii="Calibri" w:hAnsi="Calibri"/>
          <w:color w:val="auto"/>
          <w:sz w:val="22"/>
          <w:szCs w:val="22"/>
        </w:rPr>
        <w:t xml:space="preserve"> </w:t>
      </w:r>
    </w:p>
    <w:p>
      <w:pPr>
        <w:pStyle w:val="Normal"/>
        <w:numPr>
          <w:ilvl w:val="0"/>
          <w:numId w:val="14"/>
        </w:numPr>
        <w:ind w:left="426" w:right="0" w:hanging="426"/>
        <w:jc w:val="both"/>
        <w:rPr>
          <w:rFonts w:ascii="Calibri" w:hAnsi="Calibri"/>
          <w:sz w:val="22"/>
          <w:szCs w:val="22"/>
        </w:rPr>
      </w:pPr>
      <w:r>
        <w:rPr>
          <w:rFonts w:cs="Times New Roman" w:ascii="Calibri" w:hAnsi="Calibri"/>
          <w:b/>
          <w:bCs/>
          <w:sz w:val="22"/>
          <w:szCs w:val="22"/>
          <w:u w:val="single"/>
        </w:rPr>
        <w:t>Zabezpieczenie w formie blokady środków na rachunku bankowym.</w:t>
      </w:r>
      <w:r>
        <w:rPr>
          <w:rFonts w:cs="Times New Roman" w:ascii="Calibri" w:hAnsi="Calibri"/>
          <w:b/>
          <w:bCs/>
          <w:sz w:val="22"/>
          <w:szCs w:val="22"/>
        </w:rPr>
        <w:t xml:space="preserve"> </w:t>
      </w:r>
      <w:r>
        <w:rPr>
          <w:rFonts w:cs="Times New Roman" w:ascii="Calibri" w:hAnsi="Calibri"/>
          <w:sz w:val="22"/>
          <w:szCs w:val="22"/>
        </w:rPr>
        <w:t xml:space="preserve">Blokadę stanowi kwota wnioskowana + odsetki ustawowe, potwierdzona na szablonie dokumentów pobranych z Urzędu. </w:t>
      </w:r>
      <w:r>
        <w:rPr>
          <w:rFonts w:cs="Times New Roman" w:ascii="Calibri" w:hAnsi="Calibri"/>
          <w:sz w:val="22"/>
          <w:szCs w:val="22"/>
          <w:u w:val="single"/>
        </w:rPr>
        <w:t>Blokada środków, nie może być ustanowiona na lokacie, ani określona terminem</w:t>
      </w:r>
      <w:r>
        <w:rPr>
          <w:rFonts w:cs="Times New Roman" w:ascii="Calibri" w:hAnsi="Calibri"/>
          <w:sz w:val="22"/>
          <w:szCs w:val="22"/>
        </w:rPr>
        <w:t xml:space="preserve"> (zawarta na czas nieokreślony).</w:t>
      </w:r>
    </w:p>
    <w:p>
      <w:pPr>
        <w:pStyle w:val="Normal"/>
        <w:jc w:val="both"/>
        <w:rPr/>
      </w:pPr>
      <w:r>
        <w:rPr>
          <w:rFonts w:cs="Times New Roman" w:ascii="Calibri" w:hAnsi="Calibri"/>
          <w:sz w:val="22"/>
          <w:szCs w:val="22"/>
        </w:rPr>
        <w:t xml:space="preserve">Zwolnienie zablokowanych środków nastąpi po złożeniu ostatecznego rozliczenia wykonania zawartej umowy, po osobistym </w:t>
      </w:r>
      <w:r>
        <w:rPr>
          <w:rFonts w:cs="Times New Roman" w:ascii="Calibri" w:hAnsi="Calibri"/>
          <w:color w:val="auto"/>
          <w:sz w:val="22"/>
          <w:szCs w:val="22"/>
        </w:rPr>
        <w:t>odebraniu pisma z Urzędu uznającego wywiązanie się z warunków</w:t>
      </w:r>
      <w:r>
        <w:rPr>
          <w:rFonts w:cs="Times New Roman" w:ascii="Calibri" w:hAnsi="Calibri"/>
          <w:sz w:val="22"/>
          <w:szCs w:val="22"/>
        </w:rPr>
        <w:t xml:space="preserve"> </w:t>
      </w:r>
      <w:r>
        <w:rPr>
          <w:rFonts w:cs="Times New Roman" w:ascii="Calibri" w:hAnsi="Calibri"/>
          <w:sz w:val="22"/>
          <w:szCs w:val="22"/>
        </w:rPr>
        <w:t xml:space="preserve">umowy </w:t>
      </w:r>
      <w:r>
        <w:rPr>
          <w:rFonts w:cs="Times New Roman" w:ascii="Calibri" w:hAnsi="Calibri"/>
          <w:sz w:val="22"/>
          <w:szCs w:val="22"/>
        </w:rPr>
        <w:t xml:space="preserve">przez Otrzymującego środki. </w:t>
      </w:r>
      <w:r>
        <w:rPr>
          <w:rFonts w:cs="Times New Roman" w:ascii="Calibri" w:hAnsi="Calibri"/>
          <w:sz w:val="22"/>
          <w:szCs w:val="22"/>
        </w:rPr>
        <w:t>W czasie obowiązywania blokady posiadacz rachunku bankowego nie może dysponować zablokowanymi środkami ani też podejmować środków będących przedmiotem blokady.</w:t>
      </w:r>
    </w:p>
    <w:p>
      <w:pPr>
        <w:pStyle w:val="Normal"/>
        <w:numPr>
          <w:ilvl w:val="0"/>
          <w:numId w:val="14"/>
        </w:numPr>
        <w:ind w:left="426" w:right="0" w:hanging="426"/>
        <w:jc w:val="both"/>
        <w:rPr>
          <w:rFonts w:ascii="Calibri" w:hAnsi="Calibri"/>
          <w:sz w:val="22"/>
          <w:szCs w:val="22"/>
        </w:rPr>
      </w:pPr>
      <w:r>
        <w:rPr>
          <w:rFonts w:cs="Times New Roman" w:ascii="Calibri" w:hAnsi="Calibri"/>
          <w:b/>
          <w:bCs/>
          <w:sz w:val="22"/>
          <w:szCs w:val="22"/>
          <w:u w:val="single"/>
        </w:rPr>
        <w:t>Zabezpieczenie w formie g</w:t>
      </w:r>
      <w:r>
        <w:rPr>
          <w:rFonts w:cs="Times New Roman" w:ascii="Calibri" w:hAnsi="Calibri"/>
          <w:b/>
          <w:sz w:val="22"/>
          <w:szCs w:val="22"/>
          <w:u w:val="single"/>
        </w:rPr>
        <w:t>warancji bankowej.</w:t>
      </w:r>
      <w:r>
        <w:rPr>
          <w:rFonts w:cs="Times New Roman" w:ascii="Calibri" w:hAnsi="Calibri"/>
          <w:sz w:val="22"/>
          <w:szCs w:val="22"/>
        </w:rPr>
        <w:t xml:space="preserve"> Na podstawie podpisanej umowy</w:t>
        <w:br/>
        <w:t xml:space="preserve">o dofinansowanie, w której wskazana jest kwota wnioskowana wraz z odsetkami bank wystawia gwarancję na rzecz GUP na okres obowiązywania umowy oraz jej rozliczenia. Gwarancja bankowa jest zobowiązaniem banku (gwaranta), podjętym na zlecenie Klienta (zleceniodawcy), do wypłacenia osobie uprawnionej (beneficjentowi - GUP) określonej sumy pieniężnej po otrzymaniu pisemnego żądania beneficjenta stwierdzającego, że zleceniodawca nie wykonał zobowiązań umownych zabezpieczonych gwarancją bankową. Formalności załatwiane są przez biorcę po podpisaniu umowy o dofinansowanie a przed wypłatą dofinansowania.  </w:t>
      </w:r>
    </w:p>
    <w:p>
      <w:pPr>
        <w:pStyle w:val="Normal"/>
        <w:tabs>
          <w:tab w:val="clear" w:pos="709"/>
          <w:tab w:val="left" w:pos="0" w:leader="none"/>
        </w:tabs>
        <w:jc w:val="both"/>
        <w:rPr>
          <w:rFonts w:ascii="Calibri" w:hAnsi="Calibri" w:cs="Times New Roman"/>
          <w:sz w:val="22"/>
          <w:szCs w:val="22"/>
        </w:rPr>
      </w:pPr>
      <w:r>
        <w:rPr>
          <w:rFonts w:cs="Times New Roman" w:ascii="Calibri" w:hAnsi="Calibri"/>
          <w:sz w:val="22"/>
          <w:szCs w:val="22"/>
        </w:rPr>
        <w:t xml:space="preserve">Zwolnienie </w:t>
      </w:r>
      <w:r>
        <w:rPr>
          <w:rFonts w:cs="Times New Roman" w:ascii="Calibri" w:hAnsi="Calibri"/>
          <w:sz w:val="22"/>
          <w:szCs w:val="22"/>
        </w:rPr>
        <w:t>gwarancji bankowej</w:t>
      </w:r>
      <w:r>
        <w:rPr>
          <w:rFonts w:cs="Times New Roman" w:ascii="Calibri" w:hAnsi="Calibri"/>
          <w:sz w:val="22"/>
          <w:szCs w:val="22"/>
        </w:rPr>
        <w:t xml:space="preserve"> nastąpi po złożeniu ostatecznego rozliczenia wykonania zawartej umowy, po osobistym </w:t>
      </w:r>
      <w:r>
        <w:rPr>
          <w:rFonts w:cs="Times New Roman" w:ascii="Calibri" w:hAnsi="Calibri"/>
          <w:color w:val="auto"/>
          <w:sz w:val="22"/>
          <w:szCs w:val="22"/>
        </w:rPr>
        <w:t>odebraniu pisma z Urzędu uznającego wywiązanie się z warunków</w:t>
      </w:r>
      <w:r>
        <w:rPr>
          <w:rFonts w:cs="Times New Roman" w:ascii="Calibri" w:hAnsi="Calibri"/>
          <w:sz w:val="22"/>
          <w:szCs w:val="22"/>
        </w:rPr>
        <w:t xml:space="preserve"> </w:t>
      </w:r>
      <w:r>
        <w:rPr>
          <w:rFonts w:cs="Times New Roman" w:ascii="Calibri" w:hAnsi="Calibri"/>
          <w:sz w:val="22"/>
          <w:szCs w:val="22"/>
        </w:rPr>
        <w:t xml:space="preserve"> </w:t>
      </w:r>
      <w:r>
        <w:rPr>
          <w:rFonts w:cs="Times New Roman" w:ascii="Calibri" w:hAnsi="Calibri"/>
          <w:sz w:val="22"/>
          <w:szCs w:val="22"/>
        </w:rPr>
        <w:t xml:space="preserve">przez Otrzymującego środki. </w:t>
      </w:r>
    </w:p>
    <w:p>
      <w:pPr>
        <w:pStyle w:val="Normal"/>
        <w:spacing w:lineRule="atLeast" w:line="100"/>
        <w:jc w:val="both"/>
        <w:rPr>
          <w:rFonts w:ascii="Calibri" w:hAnsi="Calibri" w:cs="Times New Roman"/>
          <w:b/>
          <w:b/>
          <w:bCs/>
          <w:i/>
          <w:i/>
          <w:sz w:val="20"/>
          <w:szCs w:val="20"/>
        </w:rPr>
      </w:pPr>
      <w:r>
        <w:rPr>
          <w:rFonts w:cs="Times New Roman" w:ascii="Calibri" w:hAnsi="Calibri"/>
          <w:b/>
          <w:bCs/>
          <w:i/>
          <w:sz w:val="20"/>
          <w:szCs w:val="20"/>
        </w:rPr>
        <w:t xml:space="preserve">UWAGA! Pozostałe formy tj. akt notarialny, zastaw na prawach lub rzeczach, poręczenie będą analizowane i ewentualnie dopuszczone po przedstawieniu odpowiednich dokumentów wyłącznie za zgodą Dyrektora  Grodzkiego Urzędu Pracy w  Krakowie, </w:t>
      </w:r>
      <w:r>
        <w:rPr>
          <w:rFonts w:cs="Times New Roman" w:ascii="Calibri" w:hAnsi="Calibri"/>
          <w:b/>
          <w:bCs/>
          <w:i/>
          <w:sz w:val="20"/>
          <w:szCs w:val="20"/>
        </w:rPr>
        <w:t>którą uzyska przed złożeniem wniosku.</w:t>
      </w:r>
    </w:p>
    <w:sectPr>
      <w:footerReference w:type="even" r:id="rId2"/>
      <w:footerReference w:type="default" r:id="rId3"/>
      <w:type w:val="nextPage"/>
      <w:pgSz w:w="11906" w:h="16838"/>
      <w:pgMar w:left="1134" w:right="1134" w:header="0" w:top="1134" w:footer="1134" w:bottom="170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OpenSymbol">
    <w:altName w:val="Arial Unicode MS"/>
    <w:charset w:val="ee"/>
    <w:family w:val="auto"/>
    <w:pitch w:val="default"/>
  </w:font>
  <w:font w:name="Calibri">
    <w:charset w:val="ee"/>
    <w:family w:val="swiss"/>
    <w:pitch w:val="variable"/>
  </w:font>
  <w:font w:name="Arial">
    <w:charset w:val="ee"/>
    <w:family w:val="swiss"/>
    <w:pitch w:val="variable"/>
  </w:font>
  <w:font w:name="Calibri">
    <w:charset w:val="ee"/>
    <w:family w:val="roman"/>
    <w:pitch w:val="variable"/>
  </w:font>
  <w:font w:name="Courier New">
    <w:charset w:val="ee"/>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istParagraph"/>
      <w:numPr>
        <w:ilvl w:val="0"/>
        <w:numId w:val="0"/>
      </w:numPr>
      <w:spacing w:lineRule="atLeast" w:line="100"/>
      <w:ind w:left="1800" w:right="0" w:hanging="0"/>
      <w:jc w:val="both"/>
      <w:rPr>
        <w:sz w:val="14"/>
        <w:szCs w:val="14"/>
      </w:rPr>
    </w:pPr>
    <w:r>
      <w:rPr>
        <w:sz w:val="14"/>
        <w:szCs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istParagraph"/>
      <w:numPr>
        <w:ilvl w:val="0"/>
        <w:numId w:val="0"/>
      </w:numPr>
      <w:spacing w:lineRule="atLeast" w:line="100" w:before="57" w:after="57"/>
      <w:ind w:left="1800" w:right="0" w:hanging="0"/>
      <w:jc w:val="both"/>
      <w:rPr>
        <w:sz w:val="14"/>
        <w:szCs w:val="14"/>
      </w:rPr>
    </w:pPr>
    <w:r>
      <w:rPr>
        <w:sz w:val="14"/>
        <w:szCs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360" w:hanging="360"/>
      </w:pPr>
      <w:rPr>
        <w:smallCaps w:val="false"/>
        <w:caps w:val="false"/>
        <w:dstrike w:val="false"/>
        <w:strike w:val="false"/>
        <w:vertAlign w:val="baseline"/>
        <w:position w:val="0"/>
        <w:sz w:val="22"/>
        <w:sz w:val="22"/>
        <w:i w:val="false"/>
        <w:shadow w:val="false"/>
        <w:b/>
        <w:szCs w:val="22"/>
        <w:bCs/>
        <w:emboss w:val="false"/>
        <w:imprint w:val="false"/>
        <w:vanish w:val="false"/>
        <w:rFonts w:ascii="Calibri" w:hAnsi="Calibri" w:cs="Calibri"/>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lvl w:ilvl="0">
      <w:start w:val="1"/>
      <w:numFmt w:val="bullet"/>
      <w:lvlText w:val="-"/>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bullet"/>
      <w:lvlText w:val="-"/>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Fonts w:cs="Courier New"/>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Fonts w:cs="Courier New"/>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Fonts w:cs="Courier New"/>
      </w:rPr>
    </w:lvl>
    <w:lvl w:ilvl="8">
      <w:start w:val="1"/>
      <w:numFmt w:val="bullet"/>
      <w:lvlText w:val=""/>
      <w:lvlJc w:val="left"/>
      <w:pPr>
        <w:ind w:left="6829" w:hanging="360"/>
      </w:pPr>
      <w:rPr>
        <w:rFonts w:ascii="Wingdings" w:hAnsi="Wingdings" w:cs="Wingdings" w:hint="default"/>
      </w:rPr>
    </w:lvl>
  </w:abstractNum>
  <w:abstractNum w:abstractNumId="6">
    <w:lvl w:ilvl="0">
      <w:start w:val="1"/>
      <w:numFmt w:val="bullet"/>
      <w:lvlText w:val="-"/>
      <w:lvlJc w:val="left"/>
      <w:pPr>
        <w:ind w:left="1072" w:hanging="363"/>
      </w:pPr>
      <w:rPr>
        <w:rFonts w:ascii="Courier New" w:hAnsi="Courier New" w:cs="Courier New" w:hint="default"/>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
    <w:lvl w:ilvl="0">
      <w:start w:val="1"/>
      <w:numFmt w:val="decimal"/>
      <w:lvlText w:val="%1."/>
      <w:lvlJc w:val="left"/>
      <w:pPr>
        <w:ind w:left="1440" w:hanging="360"/>
      </w:pPr>
      <w:rPr>
        <w:smallCaps w:val="false"/>
        <w:caps w:val="false"/>
        <w:dstrike w:val="false"/>
        <w:strike w:val="false"/>
        <w:vertAlign w:val="baseline"/>
        <w:position w:val="0"/>
        <w:sz w:val="22"/>
        <w:sz w:val="22"/>
        <w:i w:val="false"/>
        <w:shadow w:val="false"/>
        <w:b/>
        <w:szCs w:val="22"/>
        <w:bCs/>
        <w:emboss w:val="false"/>
        <w:imprint w:val="false"/>
        <w:vanish w:val="false"/>
        <w:rFonts w:ascii="Calibri" w:hAnsi="Calibri" w:cs="Calibri"/>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9">
    <w:lvl w:ilvl="0">
      <w:start w:val="1"/>
      <w:numFmt w:val="bullet"/>
      <w:lvlText w:val="-"/>
      <w:lvlJc w:val="left"/>
      <w:pPr>
        <w:ind w:left="786" w:hanging="360"/>
      </w:pPr>
      <w:rPr>
        <w:rFonts w:ascii="Courier New" w:hAnsi="Courier New" w:cs="Courier New" w:hint="default"/>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12">
    <w:lvl w:ilvl="0">
      <w:start w:val="1"/>
      <w:numFmt w:val="bullet"/>
      <w:lvlText w:val="-"/>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Fonts w:cs="Courier New"/>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Fonts w:cs="Courier New"/>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Fonts w:cs="Courier New"/>
      </w:rPr>
    </w:lvl>
    <w:lvl w:ilvl="8">
      <w:start w:val="1"/>
      <w:numFmt w:val="bullet"/>
      <w:lvlText w:val=""/>
      <w:lvlJc w:val="left"/>
      <w:pPr>
        <w:ind w:left="6829"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5">
    <w:lvl w:ilvl="0">
      <w:start w:val="1"/>
      <w:numFmt w:val="lowerLetter"/>
      <w:lvlText w:val="%1)"/>
      <w:lvlJc w:val="left"/>
      <w:pPr>
        <w:tabs>
          <w:tab w:val="num" w:pos="720"/>
        </w:tabs>
        <w:ind w:left="720" w:hanging="360"/>
      </w:pPr>
      <w:rPr>
        <w:sz w:val="22"/>
        <w:szCs w:val="22"/>
        <w:rFonts w:ascii="Calibri" w:hAnsi="Calibri"/>
      </w:rPr>
    </w:lvl>
    <w:lvl w:ilvl="1">
      <w:start w:val="1"/>
      <w:numFmt w:val="lowerLetter"/>
      <w:lvlText w:val="%2)"/>
      <w:lvlJc w:val="left"/>
      <w:pPr>
        <w:tabs>
          <w:tab w:val="num" w:pos="1080"/>
        </w:tabs>
        <w:ind w:left="1080" w:hanging="360"/>
      </w:pPr>
      <w:rPr>
        <w:sz w:val="22"/>
        <w:szCs w:val="22"/>
        <w:rFonts w:ascii="Calibri" w:hAnsi="Calibri"/>
      </w:rPr>
    </w:lvl>
    <w:lvl w:ilvl="2">
      <w:start w:val="1"/>
      <w:numFmt w:val="lowerLetter"/>
      <w:lvlText w:val="%3)"/>
      <w:lvlJc w:val="left"/>
      <w:pPr>
        <w:tabs>
          <w:tab w:val="num" w:pos="1440"/>
        </w:tabs>
        <w:ind w:left="1440" w:hanging="360"/>
      </w:pPr>
      <w:rPr>
        <w:sz w:val="22"/>
        <w:szCs w:val="22"/>
        <w:rFonts w:ascii="Calibri" w:hAnsi="Calibri"/>
      </w:rPr>
    </w:lvl>
    <w:lvl w:ilvl="3">
      <w:start w:val="1"/>
      <w:numFmt w:val="lowerLetter"/>
      <w:lvlText w:val="%4)"/>
      <w:lvlJc w:val="left"/>
      <w:pPr>
        <w:tabs>
          <w:tab w:val="num" w:pos="1800"/>
        </w:tabs>
        <w:ind w:left="1800" w:hanging="360"/>
      </w:pPr>
      <w:rPr>
        <w:sz w:val="22"/>
        <w:szCs w:val="22"/>
        <w:rFonts w:ascii="Calibri" w:hAnsi="Calibri"/>
      </w:rPr>
    </w:lvl>
    <w:lvl w:ilvl="4">
      <w:start w:val="1"/>
      <w:numFmt w:val="lowerLetter"/>
      <w:lvlText w:val="%5)"/>
      <w:lvlJc w:val="left"/>
      <w:pPr>
        <w:tabs>
          <w:tab w:val="num" w:pos="2160"/>
        </w:tabs>
        <w:ind w:left="2160" w:hanging="360"/>
      </w:pPr>
      <w:rPr>
        <w:sz w:val="22"/>
        <w:szCs w:val="22"/>
        <w:rFonts w:ascii="Calibri" w:hAnsi="Calibri"/>
      </w:rPr>
    </w:lvl>
    <w:lvl w:ilvl="5">
      <w:start w:val="1"/>
      <w:numFmt w:val="lowerLetter"/>
      <w:lvlText w:val="%6)"/>
      <w:lvlJc w:val="left"/>
      <w:pPr>
        <w:tabs>
          <w:tab w:val="num" w:pos="2520"/>
        </w:tabs>
        <w:ind w:left="2520" w:hanging="360"/>
      </w:pPr>
      <w:rPr>
        <w:sz w:val="22"/>
        <w:szCs w:val="22"/>
        <w:rFonts w:ascii="Calibri" w:hAnsi="Calibri"/>
      </w:rPr>
    </w:lvl>
    <w:lvl w:ilvl="6">
      <w:start w:val="1"/>
      <w:numFmt w:val="lowerLetter"/>
      <w:lvlText w:val="%7)"/>
      <w:lvlJc w:val="left"/>
      <w:pPr>
        <w:tabs>
          <w:tab w:val="num" w:pos="2880"/>
        </w:tabs>
        <w:ind w:left="2880" w:hanging="360"/>
      </w:pPr>
      <w:rPr>
        <w:sz w:val="22"/>
        <w:szCs w:val="22"/>
        <w:rFonts w:ascii="Calibri" w:hAnsi="Calibri"/>
      </w:rPr>
    </w:lvl>
    <w:lvl w:ilvl="7">
      <w:start w:val="1"/>
      <w:numFmt w:val="lowerLetter"/>
      <w:lvlText w:val="%8)"/>
      <w:lvlJc w:val="left"/>
      <w:pPr>
        <w:tabs>
          <w:tab w:val="num" w:pos="3240"/>
        </w:tabs>
        <w:ind w:left="3240" w:hanging="360"/>
      </w:pPr>
      <w:rPr>
        <w:sz w:val="22"/>
        <w:szCs w:val="22"/>
        <w:rFonts w:ascii="Calibri" w:hAnsi="Calibri"/>
      </w:rPr>
    </w:lvl>
    <w:lvl w:ilvl="8">
      <w:start w:val="1"/>
      <w:numFmt w:val="lowerLetter"/>
      <w:lvlText w:val="%9)"/>
      <w:lvlJc w:val="left"/>
      <w:pPr>
        <w:tabs>
          <w:tab w:val="num" w:pos="3600"/>
        </w:tabs>
        <w:ind w:left="3600" w:hanging="360"/>
      </w:pPr>
      <w:rPr>
        <w:sz w:val="22"/>
        <w:szCs w:val="22"/>
        <w:rFonts w:ascii="Calibri" w:hAnsi="Calibri"/>
      </w:rPr>
    </w:lvl>
  </w:abstractNum>
  <w:abstractNum w:abstractNumId="16">
    <w:lvl w:ilvl="0">
      <w:start w:val="1"/>
      <w:numFmt w:val="decimal"/>
      <w:suff w:val="space"/>
      <w:lvlText w:val="%1."/>
      <w:lvlJc w:val="left"/>
      <w:pPr>
        <w:ind w:left="238" w:hanging="238"/>
      </w:pPr>
      <w:rPr>
        <w:sz w:val="22"/>
        <w:szCs w:val="22"/>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777"/>
        </w:tabs>
        <w:ind w:left="777" w:hanging="360"/>
      </w:pPr>
      <w:rPr>
        <w:sz w:val="22"/>
        <w:szCs w:val="22"/>
        <w:rFonts w:ascii="Calibri" w:hAnsi="Calibri"/>
      </w:rPr>
    </w:lvl>
    <w:lvl w:ilvl="1">
      <w:start w:val="1"/>
      <w:numFmt w:val="decimal"/>
      <w:lvlText w:val="%2."/>
      <w:lvlJc w:val="left"/>
      <w:pPr>
        <w:tabs>
          <w:tab w:val="num" w:pos="1137"/>
        </w:tabs>
        <w:ind w:left="1137" w:hanging="360"/>
      </w:pPr>
      <w:rPr>
        <w:sz w:val="22"/>
        <w:szCs w:val="22"/>
        <w:rFonts w:ascii="Calibri" w:hAnsi="Calibri"/>
      </w:rPr>
    </w:lvl>
    <w:lvl w:ilvl="2">
      <w:start w:val="1"/>
      <w:numFmt w:val="decimal"/>
      <w:lvlText w:val="%3."/>
      <w:lvlJc w:val="left"/>
      <w:pPr>
        <w:tabs>
          <w:tab w:val="num" w:pos="1497"/>
        </w:tabs>
        <w:ind w:left="1497" w:hanging="360"/>
      </w:pPr>
      <w:rPr>
        <w:sz w:val="22"/>
        <w:szCs w:val="22"/>
        <w:rFonts w:ascii="Calibri" w:hAnsi="Calibri"/>
      </w:rPr>
    </w:lvl>
    <w:lvl w:ilvl="3">
      <w:start w:val="1"/>
      <w:numFmt w:val="decimal"/>
      <w:lvlText w:val="%4."/>
      <w:lvlJc w:val="left"/>
      <w:pPr>
        <w:tabs>
          <w:tab w:val="num" w:pos="1857"/>
        </w:tabs>
        <w:ind w:left="1857" w:hanging="360"/>
      </w:pPr>
      <w:rPr>
        <w:sz w:val="22"/>
        <w:szCs w:val="22"/>
        <w:rFonts w:ascii="Calibri" w:hAnsi="Calibri"/>
      </w:rPr>
    </w:lvl>
    <w:lvl w:ilvl="4">
      <w:start w:val="1"/>
      <w:numFmt w:val="decimal"/>
      <w:lvlText w:val="%5."/>
      <w:lvlJc w:val="left"/>
      <w:pPr>
        <w:tabs>
          <w:tab w:val="num" w:pos="2217"/>
        </w:tabs>
        <w:ind w:left="2217" w:hanging="360"/>
      </w:pPr>
      <w:rPr>
        <w:sz w:val="22"/>
        <w:szCs w:val="22"/>
        <w:rFonts w:ascii="Calibri" w:hAnsi="Calibri"/>
      </w:rPr>
    </w:lvl>
    <w:lvl w:ilvl="5">
      <w:start w:val="1"/>
      <w:numFmt w:val="decimal"/>
      <w:lvlText w:val="%6."/>
      <w:lvlJc w:val="left"/>
      <w:pPr>
        <w:tabs>
          <w:tab w:val="num" w:pos="2577"/>
        </w:tabs>
        <w:ind w:left="2577" w:hanging="360"/>
      </w:pPr>
      <w:rPr>
        <w:sz w:val="22"/>
        <w:szCs w:val="22"/>
        <w:rFonts w:ascii="Calibri" w:hAnsi="Calibri"/>
      </w:rPr>
    </w:lvl>
    <w:lvl w:ilvl="6">
      <w:start w:val="1"/>
      <w:numFmt w:val="decimal"/>
      <w:lvlText w:val="%7."/>
      <w:lvlJc w:val="left"/>
      <w:pPr>
        <w:tabs>
          <w:tab w:val="num" w:pos="2937"/>
        </w:tabs>
        <w:ind w:left="2937" w:hanging="360"/>
      </w:pPr>
      <w:rPr>
        <w:sz w:val="22"/>
        <w:szCs w:val="22"/>
        <w:rFonts w:ascii="Calibri" w:hAnsi="Calibri"/>
      </w:rPr>
    </w:lvl>
    <w:lvl w:ilvl="7">
      <w:start w:val="1"/>
      <w:numFmt w:val="decimal"/>
      <w:lvlText w:val="%8."/>
      <w:lvlJc w:val="left"/>
      <w:pPr>
        <w:tabs>
          <w:tab w:val="num" w:pos="3297"/>
        </w:tabs>
        <w:ind w:left="3297" w:hanging="360"/>
      </w:pPr>
      <w:rPr>
        <w:sz w:val="22"/>
        <w:szCs w:val="22"/>
        <w:rFonts w:ascii="Calibri" w:hAnsi="Calibri"/>
      </w:rPr>
    </w:lvl>
    <w:lvl w:ilvl="8">
      <w:start w:val="1"/>
      <w:numFmt w:val="decimal"/>
      <w:lvlText w:val="%9."/>
      <w:lvlJc w:val="left"/>
      <w:pPr>
        <w:tabs>
          <w:tab w:val="num" w:pos="3657"/>
        </w:tabs>
        <w:ind w:left="3657" w:hanging="360"/>
      </w:pPr>
      <w:rPr>
        <w:sz w:val="22"/>
        <w:szCs w:val="22"/>
        <w:rFonts w:ascii="Calibri" w:hAnsi="Calibri"/>
      </w:rPr>
    </w:lvl>
  </w:abstractNum>
  <w:abstractNum w:abstractNumId="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9"/>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pl-PL" w:eastAsia="zh-CN" w:bidi="hi-IN"/>
      </w:rPr>
    </w:rPrDefault>
    <w:pPrDefault>
      <w:pPr/>
    </w:pPrDefault>
  </w:docDefaults>
  <w:style w:type="paragraph" w:styleId="Normal">
    <w:name w:val="Normal"/>
    <w:qFormat/>
    <w:pPr>
      <w:widowControl/>
      <w:numPr>
        <w:ilvl w:val="0"/>
        <w:numId w:val="0"/>
      </w:numPr>
      <w:kinsoku w:val="true"/>
      <w:overflowPunct w:val="true"/>
      <w:autoSpaceDE w:val="true"/>
      <w:bidi w:val="0"/>
    </w:pPr>
    <w:rPr>
      <w:rFonts w:ascii="Times New Roman" w:hAnsi="Times New Roman" w:eastAsia="SimSun" w:cs="Mangal"/>
      <w:color w:val="auto"/>
      <w:kern w:val="2"/>
      <w:sz w:val="24"/>
      <w:szCs w:val="24"/>
      <w:lang w:val="pl-PL" w:eastAsia="zh-CN" w:bidi="hi-IN"/>
    </w:rPr>
  </w:style>
  <w:style w:type="character" w:styleId="DefaultParagraphFont">
    <w:name w:val="Default Paragraph Font"/>
    <w:qFormat/>
    <w:rPr/>
  </w:style>
  <w:style w:type="character" w:styleId="WW8Num17z0">
    <w:name w:val="WW8Num17z0"/>
    <w:qFormat/>
    <w:rPr>
      <w:rFonts w:ascii="Symbol" w:hAnsi="Symbol" w:cs="Symbol"/>
      <w:b/>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2z0">
    <w:name w:val="WW8Num12z0"/>
    <w:qFormat/>
    <w:rPr>
      <w:rFonts w:ascii="Times New Roman" w:hAnsi="Times New Roman" w:cs="Times New Roman"/>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9z0">
    <w:name w:val="WW8Num19z0"/>
    <w:qFormat/>
    <w:rPr>
      <w:rFonts w:ascii="Times New Roman" w:hAnsi="Times New Roman" w:cs="Times New Roman"/>
      <w:color w:val="00000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3z0">
    <w:name w:val="WW8Num3z0"/>
    <w:qFormat/>
    <w:rPr>
      <w:rFonts w:ascii="Symbol" w:hAnsi="Symbol" w:cs="Times New Roman"/>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omylnaczcionkaakapitu4">
    <w:name w:val="Domyślna czcionka akapitu4"/>
    <w:qFormat/>
    <w:rPr/>
  </w:style>
  <w:style w:type="character" w:styleId="WW8Num13z0">
    <w:name w:val="WW8Num13z0"/>
    <w:qFormat/>
    <w:rPr>
      <w:rFonts w:ascii="Times New Roman" w:hAnsi="Times New Roman" w:cs="Times New Roman"/>
      <w:b/>
      <w:i/>
      <w:sz w:val="24"/>
      <w:szCs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20z0">
    <w:name w:val="WW8Num20z0"/>
    <w:qFormat/>
    <w:rPr>
      <w:rFonts w:ascii="Times New Roman" w:hAnsi="Times New Roman" w:cs="Times New Roman"/>
      <w:b w:val="false"/>
    </w:rPr>
  </w:style>
  <w:style w:type="character" w:styleId="WW8Num20z1">
    <w:name w:val="WW8Num20z1"/>
    <w:qFormat/>
    <w:rPr>
      <w:rFonts w:cs="Times New Roman"/>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z0">
    <w:name w:val="WW8Num2z0"/>
    <w:qFormat/>
    <w:rPr>
      <w:rFonts w:ascii="Times New Roman" w:hAnsi="Times New Roman" w:cs="Times New Roman"/>
    </w:rPr>
  </w:style>
  <w:style w:type="character" w:styleId="Znakiwypunktowania">
    <w:name w:val="Znaki wypunktowania"/>
    <w:qFormat/>
    <w:rPr>
      <w:rFonts w:ascii="OpenSymbol, 'Arial Unicode MS'" w:hAnsi="OpenSymbol, 'Arial Unicode MS'" w:eastAsia="OpenSymbol, 'Arial Unicode MS'" w:cs="OpenSymbol, 'Arial Unicode MS'"/>
    </w:rPr>
  </w:style>
  <w:style w:type="character" w:styleId="WW8Num14z0">
    <w:name w:val="WW8Num14z0"/>
    <w:qFormat/>
    <w:rPr>
      <w:rFonts w:ascii="Symbol" w:hAnsi="Symbol" w:cs="Symbol"/>
    </w:rPr>
  </w:style>
  <w:style w:type="character" w:styleId="WW8Num14z1">
    <w:name w:val="WW8Num14z1"/>
    <w:qFormat/>
    <w:rPr>
      <w:rFonts w:ascii="Symbol" w:hAnsi="Symbol" w:eastAsia="Times New Roman" w:cs="Symbol"/>
    </w:rPr>
  </w:style>
  <w:style w:type="character" w:styleId="WW8Num14z2">
    <w:name w:val="WW8Num14z2"/>
    <w:qFormat/>
    <w:rPr>
      <w:rFonts w:ascii="Wingdings" w:hAnsi="Wingdings" w:cs="Wingdings"/>
    </w:rPr>
  </w:style>
  <w:style w:type="character" w:styleId="WW8Num1z0">
    <w:name w:val="WW8Num1z0"/>
    <w:qFormat/>
    <w:rPr>
      <w:rFonts w:ascii="Times New Roman" w:hAnsi="Times New Roman" w:cs="Times New Roman"/>
    </w:rPr>
  </w:style>
  <w:style w:type="character" w:styleId="WW8Num4z0">
    <w:name w:val="WW8Num4z0"/>
    <w:qFormat/>
    <w:rPr>
      <w:rFonts w:ascii="Symbol" w:hAnsi="Symbol" w:cs="Times New Roman"/>
    </w:rPr>
  </w:style>
  <w:style w:type="character" w:styleId="WW8Num9z0">
    <w:name w:val="WW8Num9z0"/>
    <w:qFormat/>
    <w:rPr>
      <w:rFonts w:ascii="Times New Roman" w:hAnsi="Times New Roman" w:cs="Times New Roman"/>
      <w:b/>
      <w:bCs/>
      <w:i w:val="false"/>
      <w:iCs w:val="false"/>
      <w:sz w:val="20"/>
      <w:szCs w:val="20"/>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Znakinumeracji">
    <w:name w:val="Znaki numeracji"/>
    <w:qFormat/>
    <w:rPr>
      <w:rFonts w:ascii="Calibri" w:hAnsi="Calibri"/>
      <w:sz w:val="22"/>
      <w:szCs w:val="22"/>
    </w:rPr>
  </w:style>
  <w:style w:type="character" w:styleId="Domylnaczcionkaakapitu">
    <w:name w:val="Domyślna czcionka akapitu"/>
    <w:qFormat/>
    <w:rPr/>
  </w:style>
  <w:style w:type="paragraph" w:styleId="Nagwek">
    <w:name w:val="Nagłówek"/>
    <w:basedOn w:val="Normal"/>
    <w:next w:val="Tretekstu"/>
    <w:qFormat/>
    <w:pPr>
      <w:keepNext w:val="true"/>
      <w:numPr>
        <w:ilvl w:val="0"/>
        <w:numId w:val="0"/>
      </w:numPr>
      <w:spacing w:before="240" w:after="120"/>
    </w:pPr>
    <w:rPr>
      <w:rFonts w:ascii="Arial" w:hAnsi="Arial" w:eastAsia="Microsoft YaHei" w:cs="Mangal"/>
      <w:sz w:val="28"/>
      <w:szCs w:val="28"/>
    </w:rPr>
  </w:style>
  <w:style w:type="paragraph" w:styleId="Tretekstu">
    <w:name w:val="Body Text"/>
    <w:basedOn w:val="Normal"/>
    <w:pPr>
      <w:numPr>
        <w:ilvl w:val="0"/>
        <w:numId w:val="0"/>
      </w:numPr>
      <w:spacing w:before="0" w:after="120"/>
    </w:pPr>
    <w:rPr/>
  </w:style>
  <w:style w:type="paragraph" w:styleId="Lista">
    <w:name w:val="List"/>
    <w:basedOn w:val="Tretekstu"/>
    <w:pPr>
      <w:numPr>
        <w:ilvl w:val="0"/>
        <w:numId w:val="0"/>
      </w:numPr>
    </w:pPr>
    <w:rPr>
      <w:rFonts w:cs="Mangal"/>
    </w:rPr>
  </w:style>
  <w:style w:type="paragraph" w:styleId="Podpis">
    <w:name w:val="Caption"/>
    <w:basedOn w:val="Normal"/>
    <w:qFormat/>
    <w:pPr>
      <w:numPr>
        <w:ilvl w:val="0"/>
        <w:numId w:val="0"/>
      </w:numPr>
      <w:suppressLineNumbers/>
      <w:spacing w:before="120" w:after="120"/>
    </w:pPr>
    <w:rPr>
      <w:rFonts w:cs="Mangal"/>
      <w:i/>
      <w:iCs/>
      <w:sz w:val="24"/>
      <w:szCs w:val="24"/>
    </w:rPr>
  </w:style>
  <w:style w:type="paragraph" w:styleId="Indeks">
    <w:name w:val="Indeks"/>
    <w:basedOn w:val="Normal"/>
    <w:qFormat/>
    <w:pPr>
      <w:numPr>
        <w:ilvl w:val="0"/>
        <w:numId w:val="0"/>
      </w:numPr>
      <w:suppressLineNumbers/>
    </w:pPr>
    <w:rPr>
      <w:rFonts w:cs="Mangal"/>
    </w:rPr>
  </w:style>
  <w:style w:type="paragraph" w:styleId="ListParagraph">
    <w:name w:val="List Paragraph"/>
    <w:basedOn w:val="Normal"/>
    <w:qFormat/>
    <w:pPr>
      <w:numPr>
        <w:ilvl w:val="0"/>
        <w:numId w:val="0"/>
      </w:numPr>
      <w:ind w:left="720" w:right="0" w:hanging="0"/>
    </w:pPr>
    <w:rPr/>
  </w:style>
  <w:style w:type="paragraph" w:styleId="Normalny2">
    <w:name w:val="Normalny2"/>
    <w:qFormat/>
    <w:pPr>
      <w:widowControl/>
      <w:numPr>
        <w:ilvl w:val="0"/>
        <w:numId w:val="0"/>
      </w:numPr>
      <w:kinsoku w:val="true"/>
      <w:overflowPunct w:val="true"/>
      <w:autoSpaceDE w:val="true"/>
      <w:bidi w:val="0"/>
      <w:spacing w:lineRule="auto" w:line="276" w:before="0" w:after="200"/>
    </w:pPr>
    <w:rPr>
      <w:rFonts w:ascii="Calibri" w:hAnsi="Calibri" w:eastAsia="SimSun, 宋体" w:cs="Calibri"/>
      <w:color w:val="auto"/>
      <w:kern w:val="2"/>
      <w:sz w:val="22"/>
      <w:szCs w:val="22"/>
      <w:lang w:val="pl-PL" w:eastAsia="zh-CN" w:bidi="hi-IN"/>
    </w:rPr>
  </w:style>
  <w:style w:type="paragraph" w:styleId="Default">
    <w:name w:val="Default"/>
    <w:qFormat/>
    <w:pPr>
      <w:widowControl/>
      <w:numPr>
        <w:ilvl w:val="0"/>
        <w:numId w:val="0"/>
      </w:numPr>
      <w:kinsoku w:val="true"/>
      <w:overflowPunct w:val="true"/>
      <w:autoSpaceDE w:val="true"/>
      <w:bidi w:val="0"/>
    </w:pPr>
    <w:rPr>
      <w:rFonts w:eastAsia="Times New Roman" w:cs="Times New Roman" w:ascii="Times New Roman" w:hAnsi="Times New Roman"/>
      <w:color w:val="000000"/>
      <w:kern w:val="2"/>
      <w:sz w:val="24"/>
      <w:szCs w:val="24"/>
      <w:lang w:bidi="ar-SA" w:val="pl-PL" w:eastAsia="zh-CN"/>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Stopka">
    <w:name w:val="Footer"/>
    <w:basedOn w:val="Normal"/>
    <w:pPr>
      <w:suppressLineNumbers/>
      <w:tabs>
        <w:tab w:val="clear" w:pos="709"/>
        <w:tab w:val="center" w:pos="4819" w:leader="none"/>
        <w:tab w:val="right" w:pos="9638" w:leader="none"/>
      </w:tabs>
    </w:pPr>
    <w:rPr/>
  </w:style>
  <w:style w:type="paragraph" w:styleId="Akapitzlist">
    <w:name w:val="Akapit z listą"/>
    <w:basedOn w:val="Normal"/>
    <w:qFormat/>
    <w:pPr>
      <w:tabs>
        <w:tab w:val="clear" w:pos="709"/>
      </w:tabs>
      <w:suppressAutoHyphens w:val="true"/>
      <w:ind w:left="720" w:right="0" w:hanging="0"/>
    </w:pPr>
    <w:rPr/>
  </w:style>
  <w:style w:type="numbering" w:styleId="Numeracja123">
    <w:name w:val="Numeracja 123"/>
    <w:qFormat/>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958</TotalTime>
  <Application>LibreOffice/6.4.0.3$Windows_X86_64 LibreOffice_project/b0a288ab3d2d4774cb44b62f04d5d28733ac6df8</Application>
  <Pages>9</Pages>
  <Words>4023</Words>
  <CharactersWithSpaces>30404</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2018-06-26T08:16:00Z</dcterms:created>
  <dc:creator>Paweł Popek</dc:creator>
  <dc:description/>
  <dc:language>pl-PL</dc:language>
  <cp:lastModifiedBy/>
  <cp:lastPrinted>2021-02-03T08:34:02Z</cp:lastPrinted>
  <dcterms:modified xsi:type="dcterms:W3CDTF">2021-07-14T12:41:34Z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